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A70FC" w:rsidRDefault="00FA70FC"/>
    <w:p w14:paraId="00000002"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EN LO PRINCIPAL</w:t>
      </w:r>
      <w:r>
        <w:rPr>
          <w:rFonts w:ascii="Times New Roman" w:eastAsia="Times New Roman" w:hAnsi="Times New Roman" w:cs="Times New Roman"/>
          <w:sz w:val="24"/>
          <w:szCs w:val="24"/>
        </w:rPr>
        <w:t xml:space="preserve">: Interpone recurso de reclamación conforme a los artículos 20 y 30 bis de la Ley N°19.300. </w:t>
      </w:r>
      <w:r>
        <w:rPr>
          <w:rFonts w:ascii="Times New Roman" w:eastAsia="Times New Roman" w:hAnsi="Times New Roman" w:cs="Times New Roman"/>
          <w:b/>
          <w:sz w:val="24"/>
          <w:szCs w:val="24"/>
          <w:u w:val="single"/>
        </w:rPr>
        <w:t>PRIMER OTROSÍ</w:t>
      </w:r>
      <w:r>
        <w:rPr>
          <w:rFonts w:ascii="Times New Roman" w:eastAsia="Times New Roman" w:hAnsi="Times New Roman" w:cs="Times New Roman"/>
          <w:sz w:val="24"/>
          <w:szCs w:val="24"/>
        </w:rPr>
        <w:t xml:space="preserve">: Suspensión de los efectos del acto impugnado. </w:t>
      </w:r>
      <w:r>
        <w:rPr>
          <w:rFonts w:ascii="Times New Roman" w:eastAsia="Times New Roman" w:hAnsi="Times New Roman" w:cs="Times New Roman"/>
          <w:b/>
          <w:sz w:val="24"/>
          <w:szCs w:val="24"/>
          <w:u w:val="single"/>
        </w:rPr>
        <w:t>SEGUNDO OTROSÍ</w:t>
      </w:r>
      <w:r>
        <w:rPr>
          <w:rFonts w:ascii="Times New Roman" w:eastAsia="Times New Roman" w:hAnsi="Times New Roman" w:cs="Times New Roman"/>
          <w:sz w:val="24"/>
          <w:szCs w:val="24"/>
        </w:rPr>
        <w:t xml:space="preserve">: Acompaña documentos. </w:t>
      </w:r>
      <w:r>
        <w:rPr>
          <w:rFonts w:ascii="Times New Roman" w:eastAsia="Times New Roman" w:hAnsi="Times New Roman" w:cs="Times New Roman"/>
          <w:b/>
          <w:sz w:val="24"/>
          <w:szCs w:val="24"/>
          <w:u w:val="single"/>
        </w:rPr>
        <w:t>TERCER OTROSÍ</w:t>
      </w:r>
      <w:r>
        <w:rPr>
          <w:rFonts w:ascii="Times New Roman" w:eastAsia="Times New Roman" w:hAnsi="Times New Roman" w:cs="Times New Roman"/>
          <w:sz w:val="24"/>
          <w:szCs w:val="24"/>
        </w:rPr>
        <w:t>: Forma de notificación.</w:t>
      </w:r>
    </w:p>
    <w:p w14:paraId="00000003"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4" w14:textId="77777777" w:rsidR="00FA70FC" w:rsidRDefault="00000000">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Señora </w:t>
      </w:r>
      <w:proofErr w:type="gramStart"/>
      <w:r>
        <w:rPr>
          <w:rFonts w:ascii="Times New Roman" w:eastAsia="Times New Roman" w:hAnsi="Times New Roman" w:cs="Times New Roman"/>
          <w:b/>
          <w:sz w:val="24"/>
          <w:szCs w:val="24"/>
        </w:rPr>
        <w:t>Directora Ejecutiva</w:t>
      </w:r>
      <w:proofErr w:type="gramEnd"/>
    </w:p>
    <w:p w14:paraId="00000005" w14:textId="77777777" w:rsidR="00FA70FC" w:rsidRDefault="00000000">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Servicio de Evaluación Ambiental</w:t>
      </w:r>
    </w:p>
    <w:p w14:paraId="00000006"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7"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Carolina Andrea Arce Menares</w:t>
      </w:r>
      <w:r>
        <w:rPr>
          <w:rFonts w:ascii="Times New Roman" w:eastAsia="Times New Roman" w:hAnsi="Times New Roman" w:cs="Times New Roman"/>
          <w:sz w:val="24"/>
          <w:szCs w:val="24"/>
        </w:rPr>
        <w:t xml:space="preserve">, cédula de identidad número 19.755.593-9, soltera, administradora pública, domiciliada en Carlos Aguirre Luco #664, Huechuraba en adelante denominada, la “Reclamante”, estando dentro de plazo, vengo a interponer recurso de reclamación en contra de la Resolución Exenta N°202413001289, de 12 de Julio de 2024 (en adelante, indistintamente, la “RCA” o la “Resolución Recurrida”) que calificó ambientalmente favorable el ´Proyecto denominado “Centro De Almacenamiento de Datos Huechuraba” (el “Proyecto”), de la empresa Servicios Amazon Data </w:t>
      </w:r>
      <w:proofErr w:type="spellStart"/>
      <w:r>
        <w:rPr>
          <w:rFonts w:ascii="Times New Roman" w:eastAsia="Times New Roman" w:hAnsi="Times New Roman" w:cs="Times New Roman"/>
          <w:sz w:val="24"/>
          <w:szCs w:val="24"/>
        </w:rPr>
        <w:t>Services</w:t>
      </w:r>
      <w:proofErr w:type="spellEnd"/>
      <w:r>
        <w:rPr>
          <w:rFonts w:ascii="Times New Roman" w:eastAsia="Times New Roman" w:hAnsi="Times New Roman" w:cs="Times New Roman"/>
          <w:sz w:val="24"/>
          <w:szCs w:val="24"/>
        </w:rPr>
        <w:t xml:space="preserve"> Chile </w:t>
      </w:r>
      <w:proofErr w:type="spellStart"/>
      <w:r>
        <w:rPr>
          <w:rFonts w:ascii="Times New Roman" w:eastAsia="Times New Roman" w:hAnsi="Times New Roman" w:cs="Times New Roman"/>
          <w:sz w:val="24"/>
          <w:szCs w:val="24"/>
        </w:rPr>
        <w:t>SpA</w:t>
      </w:r>
      <w:proofErr w:type="spellEnd"/>
      <w:r>
        <w:rPr>
          <w:rFonts w:ascii="Times New Roman" w:eastAsia="Times New Roman" w:hAnsi="Times New Roman" w:cs="Times New Roman"/>
          <w:sz w:val="24"/>
          <w:szCs w:val="24"/>
        </w:rPr>
        <w:t xml:space="preserve"> (el “Titular”), por cuanto dicha resolución no consideró debidamente las observaciones ciudadanas que he realizado durante el procedimiento de evaluación ambiental del Proyecto, particularmente relacionadas con la generación de los efectos, características o circunstancias del artículo 11 de la Ley </w:t>
      </w:r>
      <w:proofErr w:type="spellStart"/>
      <w:r>
        <w:rPr>
          <w:rFonts w:ascii="Times New Roman" w:eastAsia="Times New Roman" w:hAnsi="Times New Roman" w:cs="Times New Roman"/>
          <w:sz w:val="24"/>
          <w:szCs w:val="24"/>
        </w:rPr>
        <w:t>Nº</w:t>
      </w:r>
      <w:proofErr w:type="spellEnd"/>
      <w:r>
        <w:rPr>
          <w:rFonts w:ascii="Times New Roman" w:eastAsia="Times New Roman" w:hAnsi="Times New Roman" w:cs="Times New Roman"/>
          <w:sz w:val="24"/>
          <w:szCs w:val="24"/>
        </w:rPr>
        <w:t xml:space="preserve"> 19.300 de Bases del Medio Ambiente, infringiendo así las normas sobre participación ciudadana y los criterios de significancia,</w:t>
      </w:r>
      <w:r>
        <w:rPr>
          <w:rFonts w:ascii="Times New Roman" w:eastAsia="Times New Roman" w:hAnsi="Times New Roman" w:cs="Times New Roman"/>
          <w:color w:val="434343"/>
          <w:sz w:val="24"/>
          <w:szCs w:val="24"/>
        </w:rPr>
        <w:t xml:space="preserve"> </w:t>
      </w:r>
      <w:r>
        <w:rPr>
          <w:rFonts w:ascii="Times New Roman" w:eastAsia="Times New Roman" w:hAnsi="Times New Roman" w:cs="Times New Roman"/>
          <w:sz w:val="24"/>
          <w:szCs w:val="24"/>
        </w:rPr>
        <w:t>según los argumentos de hecho y de derecho que se pasan a exponer.</w:t>
      </w:r>
    </w:p>
    <w:p w14:paraId="00000008"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9" w14:textId="77777777" w:rsidR="00FA70FC" w:rsidRDefault="00000000">
      <w:pPr>
        <w:spacing w:before="240" w:after="240"/>
        <w:ind w:left="180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PLAZO</w:t>
      </w:r>
    </w:p>
    <w:p w14:paraId="0000000A" w14:textId="77777777" w:rsidR="00FA70FC" w:rsidRDefault="00000000">
      <w:pPr>
        <w:spacing w:before="240" w:after="2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De acuerdo a</w:t>
      </w:r>
      <w:proofErr w:type="gramEnd"/>
      <w:r>
        <w:rPr>
          <w:rFonts w:ascii="Times New Roman" w:eastAsia="Times New Roman" w:hAnsi="Times New Roman" w:cs="Times New Roman"/>
          <w:sz w:val="24"/>
          <w:szCs w:val="24"/>
        </w:rPr>
        <w:t xml:space="preserve"> lo dispuesto en el inciso final del artículo 30 bis de la Ley N°19.300:</w:t>
      </w:r>
    </w:p>
    <w:p w14:paraId="0000000B"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Cualquier persona, natural o jurídica, cuyas observaciones no hubieren sido debidamente consideradas en los fundamentos de la resolución de calificación ambiental establecida en el artículo 24, podrá presentar recurso de reclamación de conformidad a lo señalado en el artículo 20, el que no suspenderá los efectos de la resolución</w:t>
      </w:r>
      <w:r>
        <w:rPr>
          <w:rFonts w:ascii="Times New Roman" w:eastAsia="Times New Roman" w:hAnsi="Times New Roman" w:cs="Times New Roman"/>
          <w:sz w:val="24"/>
          <w:szCs w:val="24"/>
        </w:rPr>
        <w:t>.”</w:t>
      </w:r>
    </w:p>
    <w:p w14:paraId="0000000C"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su parte, el artículo 20 del citado texto legal dispone en la parte final de su inciso primero que:</w:t>
      </w:r>
    </w:p>
    <w:p w14:paraId="0000000D"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Estos recursos deberán ser interpuestos por el responsable del respectivo proyecto, dentro del plazo de treinta días contado desde la notificación de la resolución recurrida. La autoridad competente resolverá, mediante resolución fundada, en un plazo fatal de treinta o sesenta días contado desde la interposición del recurso, según se trate de una Declaración o un Estudio de Impacto Ambiental</w:t>
      </w:r>
      <w:r>
        <w:rPr>
          <w:rFonts w:ascii="Times New Roman" w:eastAsia="Times New Roman" w:hAnsi="Times New Roman" w:cs="Times New Roman"/>
          <w:sz w:val="24"/>
          <w:szCs w:val="24"/>
        </w:rPr>
        <w:t>.”</w:t>
      </w:r>
    </w:p>
    <w:p w14:paraId="0000000E"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Por su parte, conforme a lo establecido en el artículo 88 del mismo cuerpo legal antes referido:</w:t>
      </w:r>
    </w:p>
    <w:p w14:paraId="0000000F"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Todos los plazos establecidos en esta ley serán de días hábiles, entendiéndose que son inhábiles los días sábado, domingo y festivos</w:t>
      </w:r>
      <w:r>
        <w:rPr>
          <w:rFonts w:ascii="Times New Roman" w:eastAsia="Times New Roman" w:hAnsi="Times New Roman" w:cs="Times New Roman"/>
          <w:sz w:val="24"/>
          <w:szCs w:val="24"/>
        </w:rPr>
        <w:t>”.</w:t>
      </w:r>
    </w:p>
    <w:p w14:paraId="00000010"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Habiendo sido notificada la resolución recurrida, con fecha 19 de Julio del 2024, este recurso se presenta plenamente dentro de plazo.</w:t>
      </w:r>
    </w:p>
    <w:p w14:paraId="00000011"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2" w14:textId="77777777" w:rsidR="00FA70FC" w:rsidRDefault="00000000">
      <w:pPr>
        <w:spacing w:before="240" w:after="240"/>
        <w:ind w:left="180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LEGITIMIDAD</w:t>
      </w:r>
    </w:p>
    <w:p w14:paraId="00000013"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Conforme a lo dispuesto en el inciso 5° artículo 30 bis de la Ley N°19.300 sobre Bases Generales del Medio Ambiente:</w:t>
      </w:r>
    </w:p>
    <w:p w14:paraId="00000014"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Cualquier persona, natural o jurídica, cuyas observaciones no hubieren sido debidamente consideradas en los fundamentos de la resolución de calificación ambiental establecida en el artículo 24, podrá presentar recurso de reclamación de conformidad a lo señalado en el artículo 20, el que no suspenderá los efectos de la resolución</w:t>
      </w:r>
      <w:r>
        <w:rPr>
          <w:rFonts w:ascii="Times New Roman" w:eastAsia="Times New Roman" w:hAnsi="Times New Roman" w:cs="Times New Roman"/>
          <w:sz w:val="24"/>
          <w:szCs w:val="24"/>
        </w:rPr>
        <w:t>”.</w:t>
      </w:r>
    </w:p>
    <w:p w14:paraId="00000015"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tanto, de lo dispuesto en la norma antes citada, el recurso de reclamación en cuestión podrá ser interpuesto por aquellas personas, naturales o jurídicas que, habiendo formulado observaciones ciudadanas durante la evaluación ambiental del Proyecto, estimen que sus observaciones no han sido debidamente consideradas en los fundamentos de la Resolución de Calificación Ambiental.</w:t>
      </w:r>
    </w:p>
    <w:p w14:paraId="00000016"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Así las cosas, de lo expuesto se colige que cumplo con los requisitos para contar con legitimación activa y poder deducir el recurso administrativo contemplado en al artículo 20 de la Ley N°19.300.</w:t>
      </w:r>
    </w:p>
    <w:p w14:paraId="00000017" w14:textId="77777777" w:rsidR="00FA70FC" w:rsidRDefault="00000000">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18" w14:textId="77777777" w:rsidR="00FA70FC" w:rsidRDefault="00000000">
      <w:pPr>
        <w:spacing w:before="240" w:after="240"/>
        <w:ind w:left="180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ANTECEDENTES DEL PROYECTO</w:t>
      </w:r>
    </w:p>
    <w:p w14:paraId="00000019"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Proyecto “Centro De Almacenamiento De Datos Huechuraba”</w:t>
      </w:r>
      <w:r>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 xml:space="preserve"> de Servicios Amazon Data </w:t>
      </w:r>
      <w:proofErr w:type="spellStart"/>
      <w:r>
        <w:rPr>
          <w:rFonts w:ascii="Times New Roman" w:eastAsia="Times New Roman" w:hAnsi="Times New Roman" w:cs="Times New Roman"/>
          <w:sz w:val="24"/>
          <w:szCs w:val="24"/>
        </w:rPr>
        <w:t>Services</w:t>
      </w:r>
      <w:proofErr w:type="spellEnd"/>
      <w:r>
        <w:rPr>
          <w:rFonts w:ascii="Times New Roman" w:eastAsia="Times New Roman" w:hAnsi="Times New Roman" w:cs="Times New Roman"/>
          <w:sz w:val="24"/>
          <w:szCs w:val="24"/>
        </w:rPr>
        <w:t xml:space="preserve"> Chile </w:t>
      </w:r>
      <w:proofErr w:type="spellStart"/>
      <w:r>
        <w:rPr>
          <w:rFonts w:ascii="Times New Roman" w:eastAsia="Times New Roman" w:hAnsi="Times New Roman" w:cs="Times New Roman"/>
          <w:sz w:val="24"/>
          <w:szCs w:val="24"/>
        </w:rPr>
        <w:t>SpA</w:t>
      </w:r>
      <w:proofErr w:type="spellEnd"/>
      <w:r>
        <w:rPr>
          <w:rFonts w:ascii="Times New Roman" w:eastAsia="Times New Roman" w:hAnsi="Times New Roman" w:cs="Times New Roman"/>
          <w:sz w:val="24"/>
          <w:szCs w:val="24"/>
        </w:rPr>
        <w:t xml:space="preserve">., ingresó al SEIA con fecha 07 de </w:t>
      </w:r>
      <w:proofErr w:type="gramStart"/>
      <w:r>
        <w:rPr>
          <w:rFonts w:ascii="Times New Roman" w:eastAsia="Times New Roman" w:hAnsi="Times New Roman" w:cs="Times New Roman"/>
          <w:sz w:val="24"/>
          <w:szCs w:val="24"/>
        </w:rPr>
        <w:t>Septiembre</w:t>
      </w:r>
      <w:proofErr w:type="gramEnd"/>
      <w:r>
        <w:rPr>
          <w:rFonts w:ascii="Times New Roman" w:eastAsia="Times New Roman" w:hAnsi="Times New Roman" w:cs="Times New Roman"/>
          <w:sz w:val="24"/>
          <w:szCs w:val="24"/>
        </w:rPr>
        <w:t xml:space="preserve"> de 2022, a través de una Declaración de Impacto Ambiental (“DIA”), por cumplir con la tipología principal dispuesta en la letra ñ) del artículo 10 de la Ley N°19.300, pormenorizada en el artículo 3 letra ñ) del RSEIA.</w:t>
      </w:r>
    </w:p>
    <w:p w14:paraId="0000001A" w14:textId="77777777" w:rsidR="00FA70FC" w:rsidRDefault="00000000">
      <w:pPr>
        <w:spacing w:before="240" w:after="2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De acuerdo a</w:t>
      </w:r>
      <w:proofErr w:type="gramEnd"/>
      <w:r>
        <w:rPr>
          <w:rFonts w:ascii="Times New Roman" w:eastAsia="Times New Roman" w:hAnsi="Times New Roman" w:cs="Times New Roman"/>
          <w:sz w:val="24"/>
          <w:szCs w:val="24"/>
        </w:rPr>
        <w:t xml:space="preserve"> lo señalado por el Titular en su DIA, El Proyecto, corresponde a un centro de almacenamiento de datos tecnológicos, a ubicarse en la comuna de Huechuraba, Región Metropolitana de Santiago. Considera la construcción de infraestructura para instalar equipos electrónicos y tecnológicos, alojar servidores y almacenar datos. La infraestructura contempla sistemas de climatización y enfriamiento de bajo consumo de agua, y sistemas de control de incendios; todo en un predio de 10,9 hectáreas.</w:t>
      </w:r>
    </w:p>
    <w:p w14:paraId="0000001B" w14:textId="77777777" w:rsidR="00FA70FC" w:rsidRDefault="00000000">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El Proyecto consiste en dos edificios que incluyen salas de datos (servidores, dispositivos de red y cables), oficinas, salas eléctricas y mecánicas y salas de almacenamiento de materiales. En el campus se contempla caseta de vigilancia, estacionamientos, área de reabastecimiento de combustible para generadores de emergencia, patio de generadores de emergencia, patio mecánico, vialidades internas y áreas verdes.</w:t>
      </w:r>
    </w:p>
    <w:p w14:paraId="0000001C" w14:textId="77777777" w:rsidR="00FA70FC" w:rsidRDefault="00000000">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construcción se realizará en tres etapas constructivas, donde la primera etapa corresponde a la primera mitad del Edificio 1 y el campus, la segunda etapa a la segunda mitad del Edificio 1, y la tercera etapa al Edificio 2.</w:t>
      </w:r>
    </w:p>
    <w:p w14:paraId="0000001D" w14:textId="77777777" w:rsidR="00FA70FC" w:rsidRDefault="00000000">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el propósito de garantizar que la instalación permanezca operativa incluso ante cortes críticos de suministro eléctrico, el Proyecto contará con 23 generadores eléctricos de emergencia, con sus respectivos estanques de almacenamiento de combustible </w:t>
      </w:r>
      <w:proofErr w:type="spellStart"/>
      <w:r>
        <w:rPr>
          <w:rFonts w:ascii="Times New Roman" w:eastAsia="Times New Roman" w:hAnsi="Times New Roman" w:cs="Times New Roman"/>
          <w:sz w:val="24"/>
          <w:szCs w:val="24"/>
        </w:rPr>
        <w:t>diesel</w:t>
      </w:r>
      <w:proofErr w:type="spellEnd"/>
      <w:r>
        <w:rPr>
          <w:rFonts w:ascii="Times New Roman" w:eastAsia="Times New Roman" w:hAnsi="Times New Roman" w:cs="Times New Roman"/>
          <w:sz w:val="24"/>
          <w:szCs w:val="24"/>
        </w:rPr>
        <w:t>.</w:t>
      </w:r>
    </w:p>
    <w:p w14:paraId="0000001E" w14:textId="77777777" w:rsidR="00FA70FC" w:rsidRDefault="00000000">
      <w:pPr>
        <w:shd w:val="clear" w:color="auto" w:fill="FFFFFF"/>
        <w:spacing w:before="240" w:after="24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El terreno donde se desarrolla el Proyecto se emplaza al interior de los límites urbanos definidos por el Plan Regulador Metropolitano de Santiago (PRMS), vigente desde el año 1994, como una Zona Exclusiva de Actividades Productivas y de Servicio de Carácter Industrial. </w:t>
      </w:r>
      <w:proofErr w:type="gramStart"/>
      <w:r>
        <w:rPr>
          <w:rFonts w:ascii="Times New Roman" w:eastAsia="Times New Roman" w:hAnsi="Times New Roman" w:cs="Times New Roman"/>
          <w:sz w:val="24"/>
          <w:szCs w:val="24"/>
        </w:rPr>
        <w:t>De acuerdo a</w:t>
      </w:r>
      <w:proofErr w:type="gramEnd"/>
      <w:r>
        <w:rPr>
          <w:rFonts w:ascii="Times New Roman" w:eastAsia="Times New Roman" w:hAnsi="Times New Roman" w:cs="Times New Roman"/>
          <w:sz w:val="24"/>
          <w:szCs w:val="24"/>
        </w:rPr>
        <w:t xml:space="preserve"> la zonificación establecida por el Plan Regulador Comunal de Huechuraba (PRC), y en concordancia con las definiciones del PRMS, el sector donde se emplaza el Proyecto corresponde a una zona industrial exclusiva (ZI1).</w:t>
      </w:r>
    </w:p>
    <w:p w14:paraId="0000001F"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0" w14:textId="77777777" w:rsidR="00FA70FC" w:rsidRDefault="00000000">
      <w:pPr>
        <w:ind w:left="840" w:hanging="4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IV.</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SOBRE LA PARTICIPACIÓN CIUDADANA Y EL INSTRUCTIVO ORD. SEA N°130528/2013, QUE “IMPARTE INSTRUCCIONES SOBRE CONSIDERACIÓN DE LAS OBSERVACIONES CIUDADANAS EN EL MARCO DEL PROCEDIMIENTO DE EVALUACIÓN AMBIENTAL”.</w:t>
      </w:r>
    </w:p>
    <w:p w14:paraId="00000021" w14:textId="77777777" w:rsidR="00FA70FC" w:rsidRDefault="00000000">
      <w:pPr>
        <w:ind w:left="10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22"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acuerdo a nuestra legislación vigente, el principio de Participación </w:t>
      </w:r>
      <w:proofErr w:type="gramStart"/>
      <w:r>
        <w:rPr>
          <w:rFonts w:ascii="Times New Roman" w:eastAsia="Times New Roman" w:hAnsi="Times New Roman" w:cs="Times New Roman"/>
          <w:sz w:val="24"/>
          <w:szCs w:val="24"/>
        </w:rPr>
        <w:t>Ciudadana,</w:t>
      </w:r>
      <w:proofErr w:type="gramEnd"/>
      <w:r>
        <w:rPr>
          <w:rFonts w:ascii="Times New Roman" w:eastAsia="Times New Roman" w:hAnsi="Times New Roman" w:cs="Times New Roman"/>
          <w:sz w:val="24"/>
          <w:szCs w:val="24"/>
        </w:rPr>
        <w:t xml:space="preserve"> es un principio rector del ordenamiento jurídico. En este sentido, el inciso 4° del artículo 1° de la Constitución Política de la República, consagra que el Estado tiene la obligación de “</w:t>
      </w:r>
      <w:r>
        <w:rPr>
          <w:rFonts w:ascii="Times New Roman" w:eastAsia="Times New Roman" w:hAnsi="Times New Roman" w:cs="Times New Roman"/>
          <w:i/>
          <w:sz w:val="24"/>
          <w:szCs w:val="24"/>
        </w:rPr>
        <w:t>asegurar el derecho de las personas a participar con igualdad de oportunidades en la vida nacional</w:t>
      </w:r>
      <w:r>
        <w:rPr>
          <w:rFonts w:ascii="Times New Roman" w:eastAsia="Times New Roman" w:hAnsi="Times New Roman" w:cs="Times New Roman"/>
          <w:sz w:val="24"/>
          <w:szCs w:val="24"/>
        </w:rPr>
        <w:t>”. En el orden ambiental, esto significa para las personas la posibilidad de tener algún tipo de papel en la toma de decisiones públicas y ser informadas de las mismas. En este sentido, el principio participativo constituye un principio democrático y un elemento preceptivo del SEIA. La idea subyacente es que una adecuada protección del medio ambiente requiere de la participación informada de las mismas personas que desarrollan sus vidas en él.</w:t>
      </w:r>
    </w:p>
    <w:p w14:paraId="00000023"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mayor abundamiento, el principio de participación ciudadana es también reconocido en instrumentos de Derecho Internacional, a los cuales nuestro país está sujeto, como la Declaración de Río de Janeiro de 1992 sobre Medio Ambiente y Desarrollo, que postula a la Participación Ciudadana como uno de los principios fundantes de la misma: Principio </w:t>
      </w:r>
      <w:proofErr w:type="spellStart"/>
      <w:r>
        <w:rPr>
          <w:rFonts w:ascii="Times New Roman" w:eastAsia="Times New Roman" w:hAnsi="Times New Roman" w:cs="Times New Roman"/>
          <w:sz w:val="24"/>
          <w:szCs w:val="24"/>
        </w:rPr>
        <w:t>Nº</w:t>
      </w:r>
      <w:proofErr w:type="spellEnd"/>
      <w:r>
        <w:rPr>
          <w:rFonts w:ascii="Times New Roman" w:eastAsia="Times New Roman" w:hAnsi="Times New Roman" w:cs="Times New Roman"/>
          <w:sz w:val="24"/>
          <w:szCs w:val="24"/>
        </w:rPr>
        <w:t xml:space="preserve"> 10: “</w:t>
      </w:r>
      <w:r>
        <w:rPr>
          <w:rFonts w:ascii="Times New Roman" w:eastAsia="Times New Roman" w:hAnsi="Times New Roman" w:cs="Times New Roman"/>
          <w:i/>
          <w:sz w:val="24"/>
          <w:szCs w:val="24"/>
        </w:rPr>
        <w:t>Los temas ambientales son manejados de una mejor manera con la participación de todos los ciudadanos involucrados”</w:t>
      </w:r>
      <w:r>
        <w:rPr>
          <w:rFonts w:ascii="Times New Roman" w:eastAsia="Times New Roman" w:hAnsi="Times New Roman" w:cs="Times New Roman"/>
          <w:sz w:val="24"/>
          <w:szCs w:val="24"/>
        </w:rPr>
        <w:t xml:space="preserve">. A su vez, la Agenda 21 plantea como uno de sus lineamientos </w:t>
      </w:r>
      <w:r>
        <w:rPr>
          <w:rFonts w:ascii="Times New Roman" w:eastAsia="Times New Roman" w:hAnsi="Times New Roman" w:cs="Times New Roman"/>
          <w:sz w:val="24"/>
          <w:szCs w:val="24"/>
        </w:rPr>
        <w:lastRenderedPageBreak/>
        <w:t xml:space="preserve">estratégicos el fortalecer, a nivel local y regional, la participación de los grupos sociales en la gestión que los gobiernos desarrollen en sus respectivos territorios. La sección III del Documento de la Agenda, titulado “Fortalecimiento del papel de los grupos sociales”, se dedica exclusivamente a este tema, destacando la decisiva importancia que </w:t>
      </w:r>
      <w:proofErr w:type="gramStart"/>
      <w:r>
        <w:rPr>
          <w:rFonts w:ascii="Times New Roman" w:eastAsia="Times New Roman" w:hAnsi="Times New Roman" w:cs="Times New Roman"/>
          <w:sz w:val="24"/>
          <w:szCs w:val="24"/>
        </w:rPr>
        <w:t>la participación de todos los grupos sociales tendrán</w:t>
      </w:r>
      <w:proofErr w:type="gramEnd"/>
      <w:r>
        <w:rPr>
          <w:rFonts w:ascii="Times New Roman" w:eastAsia="Times New Roman" w:hAnsi="Times New Roman" w:cs="Times New Roman"/>
          <w:sz w:val="24"/>
          <w:szCs w:val="24"/>
        </w:rPr>
        <w:t xml:space="preserve"> en el cumplimiento de los objetivos, políticas y mecanismos acordados por los gobiernos en todas las áreas (no solo las ambientales) de la Agenda 21. Específicamente, en los ámbitos de medio ambiente y desarrollo, se reconoce </w:t>
      </w:r>
      <w:r>
        <w:rPr>
          <w:rFonts w:ascii="Times New Roman" w:eastAsia="Times New Roman" w:hAnsi="Times New Roman" w:cs="Times New Roman"/>
          <w:i/>
          <w:sz w:val="24"/>
          <w:szCs w:val="24"/>
        </w:rPr>
        <w:t>“la necesidad de que las personas, los grupos y las organizaciones participen en los procedimientos de evaluación del impacto ambiental, conozcan el mecanismo de adopción de decisiones y participen en él, sobre todo cuando exista la posibilidad de que esas decisiones afecten a las comunidades donde viven y trabajan”</w:t>
      </w:r>
      <w:r>
        <w:rPr>
          <w:rFonts w:ascii="Times New Roman" w:eastAsia="Times New Roman" w:hAnsi="Times New Roman" w:cs="Times New Roman"/>
          <w:sz w:val="24"/>
          <w:szCs w:val="24"/>
        </w:rPr>
        <w:t>, y se impone la obligación, entre los Estados miembros, de garantizar el acceso a la información de tipo ambiental de la que dispongan las autoridades locales, incluyendo la relativa a productos y actividades que sean o puedan ser riesgosos para el medio ambiente.</w:t>
      </w:r>
    </w:p>
    <w:p w14:paraId="00000024"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otra parte, en el mensaje del proyecto de la Ley N°19.300, se cita entre los principios de </w:t>
      </w:r>
      <w:proofErr w:type="gramStart"/>
      <w:r>
        <w:rPr>
          <w:rFonts w:ascii="Times New Roman" w:eastAsia="Times New Roman" w:hAnsi="Times New Roman" w:cs="Times New Roman"/>
          <w:sz w:val="24"/>
          <w:szCs w:val="24"/>
        </w:rPr>
        <w:t>la misma</w:t>
      </w:r>
      <w:proofErr w:type="gramEnd"/>
      <w:r>
        <w:rPr>
          <w:rFonts w:ascii="Times New Roman" w:eastAsia="Times New Roman" w:hAnsi="Times New Roman" w:cs="Times New Roman"/>
          <w:sz w:val="24"/>
          <w:szCs w:val="24"/>
        </w:rPr>
        <w:t xml:space="preserve">, la Participación, señalando que </w:t>
      </w:r>
      <w:r>
        <w:rPr>
          <w:rFonts w:ascii="Times New Roman" w:eastAsia="Times New Roman" w:hAnsi="Times New Roman" w:cs="Times New Roman"/>
          <w:i/>
          <w:sz w:val="24"/>
          <w:szCs w:val="24"/>
        </w:rPr>
        <w:t>“es de vital importancia en el tema ambiental, puesto que, para lograr, una adecuada protección del medio ambiente se requiere de la concurrencia de todos los afectados en la problemática”</w:t>
      </w:r>
      <w:r>
        <w:rPr>
          <w:rFonts w:ascii="Times New Roman" w:eastAsia="Times New Roman" w:hAnsi="Times New Roman" w:cs="Times New Roman"/>
          <w:sz w:val="24"/>
          <w:szCs w:val="24"/>
        </w:rPr>
        <w:t>. De esta forma, es posible concluir que, tanto a nivel nacional como internacional, se reconoce la importancia de la Participación Ciudadana, especialmente en el SEIA.</w:t>
      </w:r>
    </w:p>
    <w:p w14:paraId="00000025"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sentido, el inciso final del artículo 30 bis, de la Ley </w:t>
      </w:r>
      <w:proofErr w:type="spellStart"/>
      <w:r>
        <w:rPr>
          <w:rFonts w:ascii="Times New Roman" w:eastAsia="Times New Roman" w:hAnsi="Times New Roman" w:cs="Times New Roman"/>
          <w:sz w:val="24"/>
          <w:szCs w:val="24"/>
        </w:rPr>
        <w:t>Nº</w:t>
      </w:r>
      <w:proofErr w:type="spellEnd"/>
      <w:r>
        <w:rPr>
          <w:rFonts w:ascii="Times New Roman" w:eastAsia="Times New Roman" w:hAnsi="Times New Roman" w:cs="Times New Roman"/>
          <w:sz w:val="24"/>
          <w:szCs w:val="24"/>
        </w:rPr>
        <w:t xml:space="preserve"> 19.300, dispone que:</w:t>
      </w:r>
    </w:p>
    <w:p w14:paraId="00000026"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La participación ciudadana comprende los derechos a acceder y conocer el expediente físico o electrónico de la evaluación, </w:t>
      </w:r>
      <w:r>
        <w:rPr>
          <w:rFonts w:ascii="Times New Roman" w:eastAsia="Times New Roman" w:hAnsi="Times New Roman" w:cs="Times New Roman"/>
          <w:b/>
          <w:i/>
          <w:sz w:val="24"/>
          <w:szCs w:val="24"/>
          <w:u w:val="single"/>
        </w:rPr>
        <w:t>formular observaciones y obtener respuesta fundada de ellas</w:t>
      </w:r>
      <w:r>
        <w:rPr>
          <w:rFonts w:ascii="Times New Roman" w:eastAsia="Times New Roman" w:hAnsi="Times New Roman" w:cs="Times New Roman"/>
          <w:sz w:val="24"/>
          <w:szCs w:val="24"/>
        </w:rPr>
        <w:t>.” (énfasis agregado).</w:t>
      </w:r>
    </w:p>
    <w:p w14:paraId="00000027"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8"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sentido similar, el artículo 29 de la referida Ley, consagra que:</w:t>
      </w:r>
    </w:p>
    <w:p w14:paraId="00000029"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El Servicio de Evaluación Ambiental considerará las observaciones como parte del proceso de calificación y </w:t>
      </w:r>
      <w:r>
        <w:rPr>
          <w:rFonts w:ascii="Times New Roman" w:eastAsia="Times New Roman" w:hAnsi="Times New Roman" w:cs="Times New Roman"/>
          <w:b/>
          <w:i/>
          <w:sz w:val="24"/>
          <w:szCs w:val="24"/>
        </w:rPr>
        <w:t>deberá hacerse cargo de éstas, pronunciándose fundadamente respecto de todas ellas en su resolución</w:t>
      </w:r>
      <w:r>
        <w:rPr>
          <w:rFonts w:ascii="Times New Roman" w:eastAsia="Times New Roman" w:hAnsi="Times New Roman" w:cs="Times New Roman"/>
          <w:sz w:val="24"/>
          <w:szCs w:val="24"/>
        </w:rPr>
        <w:t>.” (énfasis agregado).</w:t>
      </w:r>
    </w:p>
    <w:p w14:paraId="0000002A"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mayor abundamiento, la jurisprudencia ha reconocido y relevado la importancia del principio de Participación Ciudadana en el SEIA, ejemplo de ello es la sentencia de la Excelentísima Corte Suprema que, en sentencia de fecha 25 de julio de 2017, en causa rol </w:t>
      </w:r>
      <w:proofErr w:type="spellStart"/>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xml:space="preserve"> 31176-2017, ha señalado que la participación ciudadana es el:</w:t>
      </w:r>
    </w:p>
    <w:p w14:paraId="0000002B"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Conjunto de directrices, principios y normas dispuestas por la ley y autoridad competente, que permiten a las personas naturales y jurídicas y a las organizaciones sociales y comunitarias afectadas o interesadas en alguna forma por distintos eventos de relevancia ambiental, ser incorporadas formalmente al proceso de decisiones que lleva la adopción de políticas y medidas de carácter medioambiental, a la autorización de actividades que importan </w:t>
      </w:r>
      <w:r>
        <w:rPr>
          <w:rFonts w:ascii="Times New Roman" w:eastAsia="Times New Roman" w:hAnsi="Times New Roman" w:cs="Times New Roman"/>
          <w:i/>
          <w:sz w:val="24"/>
          <w:szCs w:val="24"/>
        </w:rPr>
        <w:lastRenderedPageBreak/>
        <w:t>un compromiso ambiental, a la dictación de las regulaciones pertinentes, y a la resolución de los conflictos que se presenten</w:t>
      </w:r>
      <w:r>
        <w:rPr>
          <w:rFonts w:ascii="Times New Roman" w:eastAsia="Times New Roman" w:hAnsi="Times New Roman" w:cs="Times New Roman"/>
          <w:sz w:val="24"/>
          <w:szCs w:val="24"/>
        </w:rPr>
        <w:t>."</w:t>
      </w:r>
    </w:p>
    <w:p w14:paraId="0000002C"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Así las cosas y en particular en el SEIA, la Participación Ciudadana se encuentra regulada en el párrafo 3° del Título II, de la Ley </w:t>
      </w:r>
      <w:proofErr w:type="spellStart"/>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xml:space="preserve"> 19.300, signado: “De la participación de la comunidad en el procedimiento de evaluación de impacto ambiental”. En específico, los artículos 9° bis, 29 y 30 bis de la Ley N°19.300, se refieren a las diversas obligaciones de la autoridad respecto a las observaciones planteadas en la PAC.</w:t>
      </w:r>
    </w:p>
    <w:p w14:paraId="0000002D"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contexto, el artículo 9º bis dispone que:</w:t>
      </w:r>
    </w:p>
    <w:p w14:paraId="0000002E" w14:textId="77777777" w:rsidR="00FA70FC" w:rsidRDefault="00000000">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La Comisión a la cual se refiere el artículo 86 o el </w:t>
      </w:r>
      <w:proofErr w:type="gramStart"/>
      <w:r>
        <w:rPr>
          <w:rFonts w:ascii="Times New Roman" w:eastAsia="Times New Roman" w:hAnsi="Times New Roman" w:cs="Times New Roman"/>
          <w:i/>
          <w:sz w:val="24"/>
          <w:szCs w:val="24"/>
        </w:rPr>
        <w:t>Director Ejecutivo</w:t>
      </w:r>
      <w:proofErr w:type="gramEnd"/>
      <w:r>
        <w:rPr>
          <w:rFonts w:ascii="Times New Roman" w:eastAsia="Times New Roman" w:hAnsi="Times New Roman" w:cs="Times New Roman"/>
          <w:i/>
          <w:sz w:val="24"/>
          <w:szCs w:val="24"/>
        </w:rPr>
        <w:t>, en su caso, deberán aprobar o rechazar un proyecto o actividad sometido al Sistema de Evaluación de Impacto Ambiental sólo en virtud del Informe Consolidado de Evaluación en lo que dice relación con los aspectos normados en la legislación ambiental vigente. En todo caso, dicho informe deberá contener, los pronunciamientos ambientales fundados de los organismos con competencia que participaron en la evaluación</w:t>
      </w:r>
      <w:r>
        <w:rPr>
          <w:rFonts w:ascii="Times New Roman" w:eastAsia="Times New Roman" w:hAnsi="Times New Roman" w:cs="Times New Roman"/>
          <w:b/>
          <w:i/>
          <w:sz w:val="24"/>
          <w:szCs w:val="24"/>
        </w:rPr>
        <w:t>, la evaluación técnica de las observaciones planteadas por la comunidad y los interesados, cuando corresponda</w:t>
      </w:r>
      <w:r>
        <w:rPr>
          <w:rFonts w:ascii="Times New Roman" w:eastAsia="Times New Roman" w:hAnsi="Times New Roman" w:cs="Times New Roman"/>
          <w:i/>
          <w:sz w:val="24"/>
          <w:szCs w:val="24"/>
        </w:rPr>
        <w:t>, así como la recomendación de aprobación o rechazo del proyecto.</w:t>
      </w:r>
    </w:p>
    <w:p w14:paraId="0000002F"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El incumplimiento a lo señalado en el inciso anterior se considerará vicio esencial del procedimiento de calificación ambiental</w:t>
      </w:r>
      <w:r>
        <w:rPr>
          <w:rFonts w:ascii="Times New Roman" w:eastAsia="Times New Roman" w:hAnsi="Times New Roman" w:cs="Times New Roman"/>
          <w:sz w:val="24"/>
          <w:szCs w:val="24"/>
        </w:rPr>
        <w:t>.” (énfasis agregado).</w:t>
      </w:r>
    </w:p>
    <w:p w14:paraId="00000030"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 anterior demuestra el carácter de esencial del proceso de participación en el SEIA, haciéndose expresa mención a la evaluación técnica y consideración de las observaciones planteadas, consagrándose que el incumplimiento de dicho </w:t>
      </w:r>
      <w:proofErr w:type="gramStart"/>
      <w:r>
        <w:rPr>
          <w:rFonts w:ascii="Times New Roman" w:eastAsia="Times New Roman" w:hAnsi="Times New Roman" w:cs="Times New Roman"/>
          <w:sz w:val="24"/>
          <w:szCs w:val="24"/>
        </w:rPr>
        <w:t>proceso,</w:t>
      </w:r>
      <w:proofErr w:type="gramEnd"/>
      <w:r>
        <w:rPr>
          <w:rFonts w:ascii="Times New Roman" w:eastAsia="Times New Roman" w:hAnsi="Times New Roman" w:cs="Times New Roman"/>
          <w:sz w:val="24"/>
          <w:szCs w:val="24"/>
        </w:rPr>
        <w:t xml:space="preserve"> constituye un vicio esencial.</w:t>
      </w:r>
    </w:p>
    <w:p w14:paraId="00000031"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su parte, el inciso 3° del artículo 29 de la Ley N°19.300, dispone que:</w:t>
      </w:r>
    </w:p>
    <w:p w14:paraId="00000032"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El Servicio de Evaluación Ambiental considerará las observaciones como parte del proceso de calificación y </w:t>
      </w:r>
      <w:r>
        <w:rPr>
          <w:rFonts w:ascii="Times New Roman" w:eastAsia="Times New Roman" w:hAnsi="Times New Roman" w:cs="Times New Roman"/>
          <w:b/>
          <w:i/>
          <w:sz w:val="24"/>
          <w:szCs w:val="24"/>
        </w:rPr>
        <w:t>deberá hacerse cargo de éstas, pronunciándose fundadamente respecto de todas ellas en su resolución</w:t>
      </w:r>
      <w:r>
        <w:rPr>
          <w:rFonts w:ascii="Times New Roman" w:eastAsia="Times New Roman" w:hAnsi="Times New Roman" w:cs="Times New Roman"/>
          <w:i/>
          <w:sz w:val="24"/>
          <w:szCs w:val="24"/>
        </w:rPr>
        <w:t>. Dicho pronunciamiento deberá estar disponible en la página web del servicio con a lo menos cinco días de anticipación a la calificación del proyecto</w:t>
      </w:r>
      <w:r>
        <w:rPr>
          <w:rFonts w:ascii="Times New Roman" w:eastAsia="Times New Roman" w:hAnsi="Times New Roman" w:cs="Times New Roman"/>
          <w:sz w:val="24"/>
          <w:szCs w:val="24"/>
        </w:rPr>
        <w:t>.” (énfasis agregado)</w:t>
      </w:r>
    </w:p>
    <w:p w14:paraId="00000033"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Conforme a lo anterior, es posible concluir que la PAC no debe entenderse limitada a los deberes de información y publicidad, ni a aquéllos relativos a la actuación de la ciudadanía en el proceso de evaluación que a las Comisiones de Evaluación o al </w:t>
      </w:r>
      <w:proofErr w:type="gramStart"/>
      <w:r>
        <w:rPr>
          <w:rFonts w:ascii="Times New Roman" w:eastAsia="Times New Roman" w:hAnsi="Times New Roman" w:cs="Times New Roman"/>
          <w:sz w:val="24"/>
          <w:szCs w:val="24"/>
        </w:rPr>
        <w:t>Director Ejecutivo</w:t>
      </w:r>
      <w:proofErr w:type="gramEnd"/>
      <w:r>
        <w:rPr>
          <w:rFonts w:ascii="Times New Roman" w:eastAsia="Times New Roman" w:hAnsi="Times New Roman" w:cs="Times New Roman"/>
          <w:sz w:val="24"/>
          <w:szCs w:val="24"/>
        </w:rPr>
        <w:t xml:space="preserve">, en su caso, les imponen los artículos 28, 29, 30, 30 bis y 31 de la Ley N°19.300. Al respecto, el artículo 26 de la referida Ley es suficientemente claro al señalar que </w:t>
      </w:r>
      <w:r>
        <w:rPr>
          <w:rFonts w:ascii="Times New Roman" w:eastAsia="Times New Roman" w:hAnsi="Times New Roman" w:cs="Times New Roman"/>
          <w:i/>
          <w:sz w:val="24"/>
          <w:szCs w:val="24"/>
        </w:rPr>
        <w:t>“estas autoridades deben asegurar la participación informada de la comunidad en el proceso de calificación. Para cumplir con este mandato, tienen la potestad para establecer los mecanismos que correspondan”</w:t>
      </w:r>
      <w:r>
        <w:rPr>
          <w:rFonts w:ascii="Times New Roman" w:eastAsia="Times New Roman" w:hAnsi="Times New Roman" w:cs="Times New Roman"/>
          <w:sz w:val="24"/>
          <w:szCs w:val="24"/>
        </w:rPr>
        <w:t xml:space="preserve">. Esta disposición no explicita cuáles son estos mecanismos, por lo que su establecimiento es discrecional. Es decir, estos pueden ser múltiples y variados, con tal que se logre el fin de la norma. Para implementar estos mecanismos, conforme con el artículo 83 del </w:t>
      </w:r>
      <w:r>
        <w:rPr>
          <w:rFonts w:ascii="Times New Roman" w:eastAsia="Times New Roman" w:hAnsi="Times New Roman" w:cs="Times New Roman"/>
          <w:sz w:val="24"/>
          <w:szCs w:val="24"/>
        </w:rPr>
        <w:lastRenderedPageBreak/>
        <w:t xml:space="preserve">RSEIA,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SEA tiene incluso la facultad para solicitar la colaboración de los órganos de la Administración del Estado con competencia ambiental o con competencia en materia de desarrollo comunitario, social o indígena y/o de participación ciudadana.</w:t>
      </w:r>
    </w:p>
    <w:p w14:paraId="00000034"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contexto, es importante señalar que, el propio Servicio de Evaluación Ambiental, a través del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ORD. N°130528/2013, que “Imparte instrucciones sobre consideración de las observaciones ciudadanas en el marco del procedimiento de evaluación ambiental”, ha dado lineamientos para la debida consideración de las observaciones PAC, estableciendo una serie de requisitos, los cuales, por cierto, le son plenamente aplicables.</w:t>
      </w:r>
    </w:p>
    <w:p w14:paraId="00000035"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sentido, en el punto 5 del instructivo se señalan los criterios mínimos que deben respetarse a la hora de considerar la observación ciudadana y, en concreto, establecer la respuesta que se le da a la ciudadanía respecto a sus observaciones planteadas. Estos criterios son el de “completitud y precisión”, “autosuficiencia”, “claridad”, “sistematización y edición”, “independencia”, “autoría impersonal” y el de “actualización de la consideración''.</w:t>
      </w:r>
    </w:p>
    <w:p w14:paraId="00000036"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7" w14:textId="77777777" w:rsidR="00FA70FC" w:rsidRDefault="00000000">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 VICIOS EN LA DEBIDA CONSIDERACIÓN DE LAS OBSERVACIONES PAC</w:t>
      </w:r>
    </w:p>
    <w:p w14:paraId="00000038"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contexto, del análisis y revisión del proceso de Participación Ciudadana del Proyecto y en específico respecto de la respuesta dada a las observaciones realizadas por esta parte, se evidencia el incumplimiento del Ord. N°130528/2013 del mismo SEA, dado por la falta de observancia de los criterios que en dicho documento se contienen.</w:t>
      </w:r>
    </w:p>
    <w:p w14:paraId="00000039"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 anterior se configura como un </w:t>
      </w:r>
      <w:r>
        <w:rPr>
          <w:rFonts w:ascii="Times New Roman" w:eastAsia="Times New Roman" w:hAnsi="Times New Roman" w:cs="Times New Roman"/>
          <w:b/>
          <w:sz w:val="24"/>
          <w:szCs w:val="24"/>
        </w:rPr>
        <w:t>vicio esencial en la evaluación ambiental</w:t>
      </w:r>
      <w:r>
        <w:rPr>
          <w:rFonts w:ascii="Times New Roman" w:eastAsia="Times New Roman" w:hAnsi="Times New Roman" w:cs="Times New Roman"/>
          <w:sz w:val="24"/>
          <w:szCs w:val="24"/>
        </w:rPr>
        <w:t>, conforme se desarrollará en el próximo apartado.</w:t>
      </w:r>
    </w:p>
    <w:p w14:paraId="0000003A"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u w:val="single"/>
        </w:rPr>
        <w:t>No observancia de los criterios de completitud y precisión</w:t>
      </w:r>
      <w:r>
        <w:rPr>
          <w:rFonts w:ascii="Times New Roman" w:eastAsia="Times New Roman" w:hAnsi="Times New Roman" w:cs="Times New Roman"/>
          <w:sz w:val="24"/>
          <w:szCs w:val="24"/>
        </w:rPr>
        <w:t xml:space="preserve">: Analizados los antecedentes de la PAC, es posible verificar que las respuestas dadas por la autoridad abordan en forma parcializada el contenido de las observaciones, respondiendo una parte de lo observado y dejando otras aristas o puntos planteados en la observación sin ningún tipo de argumentación ni respuesta e incluso, </w:t>
      </w:r>
      <w:r>
        <w:rPr>
          <w:rFonts w:ascii="Times New Roman" w:eastAsia="Times New Roman" w:hAnsi="Times New Roman" w:cs="Times New Roman"/>
          <w:sz w:val="24"/>
          <w:szCs w:val="24"/>
          <w:u w:val="single"/>
        </w:rPr>
        <w:t>dando respuesta del tipo sectorial, olvidando que se está en un proceso de evaluación ambiental</w:t>
      </w:r>
      <w:r>
        <w:rPr>
          <w:rFonts w:ascii="Times New Roman" w:eastAsia="Times New Roman" w:hAnsi="Times New Roman" w:cs="Times New Roman"/>
          <w:sz w:val="24"/>
          <w:szCs w:val="24"/>
        </w:rPr>
        <w:t>.</w:t>
      </w:r>
    </w:p>
    <w:p w14:paraId="0000003B"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sentido, según los criterios fijados por el instructivo referido, las respuestas entregadas a la comunidad deben identificar cada uno de los temas planteados y abordarlos de la misma forma. Incluso, se autoriza a la autoridad para que en el caso de que una observación sea extensa o aborde muchas temáticas se separen por materias, con el objeto de dar una respuesta completa, precisa y clara, pero debiendo siempre dar respuesta a cada uno de los temas planteados y teniendo cuidado de no alterar el contenido de la preocupación planteada en la observación ciudadana. En la especie, no se cumple aquel criterio, puesto que la autoridad no identifica todos los temas planteados por las observaciones, en muchos casos, desconociendo que se está en un proceso de evaluación ambiental, lo que, evidentemente, se traduce en la entrega de respuestas imprecisas, vagas y carentes de información necesaria.</w:t>
      </w:r>
    </w:p>
    <w:p w14:paraId="0000003C"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Por tanto, el hecho de que no se hubiere realizado una adecuada identificación de los temas planteados en la PAC, significa que los aspectos considerados a la hora de realizar la </w:t>
      </w:r>
      <w:proofErr w:type="gramStart"/>
      <w:r>
        <w:rPr>
          <w:rFonts w:ascii="Times New Roman" w:eastAsia="Times New Roman" w:hAnsi="Times New Roman" w:cs="Times New Roman"/>
          <w:sz w:val="24"/>
          <w:szCs w:val="24"/>
        </w:rPr>
        <w:t>evaluación,</w:t>
      </w:r>
      <w:proofErr w:type="gramEnd"/>
      <w:r>
        <w:rPr>
          <w:rFonts w:ascii="Times New Roman" w:eastAsia="Times New Roman" w:hAnsi="Times New Roman" w:cs="Times New Roman"/>
          <w:sz w:val="24"/>
          <w:szCs w:val="24"/>
        </w:rPr>
        <w:t xml:space="preserve"> no abordan, ni recogen todos los elementos necesarios para realizar una efectiva determinación, ponderación y evaluación de los impactos ambientales reales que el Proyecto genera.</w:t>
      </w:r>
    </w:p>
    <w:p w14:paraId="0000003D"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u w:val="single"/>
        </w:rPr>
        <w:t>No observancia del criterio de autosuficiencia</w:t>
      </w:r>
      <w:r>
        <w:rPr>
          <w:rFonts w:ascii="Times New Roman" w:eastAsia="Times New Roman" w:hAnsi="Times New Roman" w:cs="Times New Roman"/>
          <w:sz w:val="24"/>
          <w:szCs w:val="24"/>
        </w:rPr>
        <w:t>: Las respuestas están conformadas en su mayoría por citas y referencias genéricas a la DIA, Adendas y respuestas dadas por el propio Titular a las observaciones PAC. Esto hace que, en definitiva, no se respondan las observaciones en forma completa, toda vez que, no se explica de forma precisa y clara la motivación, análisis y su vinculación con lo observado por el/la ciudadana.</w:t>
      </w:r>
    </w:p>
    <w:p w14:paraId="0000003E"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Según lo dispuesto en el citado instructivo, en las respuestas se tiene que evitar el hacer referencias genéricas al EIA y/o a las Adendas y, sólo en aquellos casos en que por la naturaleza o extensión de la respuesta sea necesario hacer referencia a un proceso presentado durante la evaluación ambiental, se permite ser citado con precisión. No </w:t>
      </w:r>
      <w:proofErr w:type="gramStart"/>
      <w:r>
        <w:rPr>
          <w:rFonts w:ascii="Times New Roman" w:eastAsia="Times New Roman" w:hAnsi="Times New Roman" w:cs="Times New Roman"/>
          <w:sz w:val="24"/>
          <w:szCs w:val="24"/>
        </w:rPr>
        <w:t>obstante</w:t>
      </w:r>
      <w:proofErr w:type="gramEnd"/>
      <w:r>
        <w:rPr>
          <w:rFonts w:ascii="Times New Roman" w:eastAsia="Times New Roman" w:hAnsi="Times New Roman" w:cs="Times New Roman"/>
          <w:sz w:val="24"/>
          <w:szCs w:val="24"/>
        </w:rPr>
        <w:t xml:space="preserve"> aquello, en ningún caso se exonera a la Autoridad de formular con dichos elementos citados una adecuada respuesta que aborde de forma específica y precisa lo planteado por el/la observante.</w:t>
      </w:r>
    </w:p>
    <w:p w14:paraId="0000003F"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z w:val="24"/>
          <w:szCs w:val="24"/>
          <w:u w:val="single"/>
        </w:rPr>
        <w:t>No observancia del criterio de claridad</w:t>
      </w:r>
      <w:r>
        <w:rPr>
          <w:rFonts w:ascii="Times New Roman" w:eastAsia="Times New Roman" w:hAnsi="Times New Roman" w:cs="Times New Roman"/>
          <w:sz w:val="24"/>
          <w:szCs w:val="24"/>
        </w:rPr>
        <w:t>: La excesiva referencia a la DIA y Adendas resulta en una evidente sobre tecnificación de las respuestas, las cuales -evidentemente- se alejan de un lenguaje claro y entendible por una persona legal.</w:t>
      </w:r>
    </w:p>
    <w:p w14:paraId="00000040"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u w:val="single"/>
        </w:rPr>
        <w:t>No observancia del criterio de independencia</w:t>
      </w:r>
      <w:r>
        <w:rPr>
          <w:rFonts w:ascii="Times New Roman" w:eastAsia="Times New Roman" w:hAnsi="Times New Roman" w:cs="Times New Roman"/>
          <w:sz w:val="24"/>
          <w:szCs w:val="24"/>
        </w:rPr>
        <w:t xml:space="preserve">: La respuesta entregada por el Titular en las Adendas sólo resulta de referencia para elaborar la consideración, ya que aquella debe fundamentarse en la totalidad del expediente de evaluación. En ese sentido, se debe evitar reproducir o basarse únicamente en las respuestas dadas por el Titular a las observaciones de la comunidad. Según se hará presente en el cuerpo del presente escrito, reiterativamente la Autoridad, al considerar las observaciones, reproduce el contenido del Anexo de PAC presentado por el Titular o simplemente se limita a “juzgar” o “aprobar” la respuesta dada por el Titular, sin señalar mayor fundamento técnico ni jurídico, obviando su deber de evaluar técnicamente las observaciones de la ciudadanía, trasladando dicha labor al Titular del Proyecto y asumiendo un actitud más bien de aprobación o </w:t>
      </w:r>
      <w:proofErr w:type="spellStart"/>
      <w:r>
        <w:rPr>
          <w:rFonts w:ascii="Times New Roman" w:eastAsia="Times New Roman" w:hAnsi="Times New Roman" w:cs="Times New Roman"/>
          <w:sz w:val="24"/>
          <w:szCs w:val="24"/>
        </w:rPr>
        <w:t>visación</w:t>
      </w:r>
      <w:proofErr w:type="spellEnd"/>
      <w:r>
        <w:rPr>
          <w:rFonts w:ascii="Times New Roman" w:eastAsia="Times New Roman" w:hAnsi="Times New Roman" w:cs="Times New Roman"/>
          <w:sz w:val="24"/>
          <w:szCs w:val="24"/>
        </w:rPr>
        <w:t xml:space="preserve"> de las respuestas dadas por el Titular.</w:t>
      </w:r>
    </w:p>
    <w:p w14:paraId="00000041"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Ante lo anterior, resaltamos el reconocimiento y la importancia de un adecuado proceso de Participación Ciudadana dentro de los procesos de toma de decisión de la Autoridad Ambiental, y en específico en el SEIA. En este contexto, todos los vicios anteriormente señalados y los que serán abordados en lo sucesivo de este escrito, tienen el carácter esencial, por tanto, vician y anulan el procedimiento de evaluación ambiental y, por ende, su acto administrativo terminal, la RCA.</w:t>
      </w:r>
    </w:p>
    <w:p w14:paraId="00000042" w14:textId="77777777" w:rsidR="00FA70FC" w:rsidRDefault="00000000">
      <w:pPr>
        <w:ind w:left="4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 OBSERVACIONES QUE NO HAN SIDO DEBIDAMENTE CONSIDERADAS EN LOS FUNDAMENTOS DE LA RCA</w:t>
      </w:r>
      <w:r>
        <w:rPr>
          <w:rFonts w:ascii="Times New Roman" w:eastAsia="Times New Roman" w:hAnsi="Times New Roman" w:cs="Times New Roman"/>
          <w:sz w:val="24"/>
          <w:szCs w:val="24"/>
        </w:rPr>
        <w:t>.</w:t>
      </w:r>
    </w:p>
    <w:p w14:paraId="00000043" w14:textId="77777777" w:rsidR="00FA70FC" w:rsidRDefault="00FA70FC">
      <w:pPr>
        <w:spacing w:before="240" w:after="240"/>
        <w:ind w:left="420"/>
        <w:jc w:val="both"/>
        <w:rPr>
          <w:rFonts w:ascii="Times New Roman" w:eastAsia="Times New Roman" w:hAnsi="Times New Roman" w:cs="Times New Roman"/>
          <w:sz w:val="24"/>
          <w:szCs w:val="24"/>
        </w:rPr>
      </w:pPr>
    </w:p>
    <w:p w14:paraId="00000044"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Observación </w:t>
      </w:r>
      <w:proofErr w:type="spellStart"/>
      <w:r>
        <w:rPr>
          <w:rFonts w:ascii="Times New Roman" w:eastAsia="Times New Roman" w:hAnsi="Times New Roman" w:cs="Times New Roman"/>
          <w:b/>
          <w:sz w:val="24"/>
          <w:szCs w:val="24"/>
        </w:rPr>
        <w:t>N°</w:t>
      </w:r>
      <w:proofErr w:type="spellEnd"/>
      <w:r>
        <w:rPr>
          <w:rFonts w:ascii="Times New Roman" w:eastAsia="Times New Roman" w:hAnsi="Times New Roman" w:cs="Times New Roman"/>
          <w:b/>
          <w:sz w:val="24"/>
          <w:szCs w:val="24"/>
        </w:rPr>
        <w:t xml:space="preserve"> 1 Daño a la Salud de la Población</w:t>
      </w:r>
      <w:r>
        <w:rPr>
          <w:rFonts w:ascii="Times New Roman" w:eastAsia="Times New Roman" w:hAnsi="Times New Roman" w:cs="Times New Roman"/>
          <w:sz w:val="24"/>
          <w:szCs w:val="24"/>
        </w:rPr>
        <w:t xml:space="preserve">. </w:t>
      </w:r>
    </w:p>
    <w:p w14:paraId="00000045" w14:textId="77777777" w:rsidR="00FA70FC" w:rsidRDefault="00000000">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“Una de las consecuencias negativas que tendrá la instalación de este proyecto será el daño irreparable a la salud y calidad de vida de la población, puesto que, en la fase de construcción de las torres superaran los límites establecidos en los Planes de Prevención y/o Descontaminación Atmosférica PPDD, de emisiones de material particulado y gases. </w:t>
      </w:r>
    </w:p>
    <w:p w14:paraId="00000046" w14:textId="77777777" w:rsidR="00FA70FC" w:rsidRDefault="00000000">
      <w:pPr>
        <w:spacing w:before="240" w:after="2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En la misma línea, el decreto 31 que establece Plan de Prevención y Descontaminación Atmosférica para la Región Metropolitana de Santiago, menciona con claridad </w:t>
      </w:r>
      <w:proofErr w:type="spellStart"/>
      <w:r>
        <w:rPr>
          <w:rFonts w:ascii="Times New Roman" w:eastAsia="Times New Roman" w:hAnsi="Times New Roman" w:cs="Times New Roman"/>
          <w:i/>
          <w:sz w:val="24"/>
          <w:szCs w:val="24"/>
        </w:rPr>
        <w:t>cuales</w:t>
      </w:r>
      <w:proofErr w:type="spellEnd"/>
      <w:r>
        <w:rPr>
          <w:rFonts w:ascii="Times New Roman" w:eastAsia="Times New Roman" w:hAnsi="Times New Roman" w:cs="Times New Roman"/>
          <w:i/>
          <w:sz w:val="24"/>
          <w:szCs w:val="24"/>
        </w:rPr>
        <w:t xml:space="preserve"> serían las consecuencias negativas de la fracción fina del material particulado en la salud de las personas, entre estas destacan las siguientes: </w:t>
      </w:r>
    </w:p>
    <w:p w14:paraId="00000047" w14:textId="77777777" w:rsidR="00FA70FC" w:rsidRDefault="00000000">
      <w:pPr>
        <w:spacing w:before="240" w:after="2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1.Mortalidad y admisiones hospitalarias en pacientes con enfermedad pulmonar obstructiva crónica y con enfermedad cardiovascular. </w:t>
      </w:r>
    </w:p>
    <w:p w14:paraId="00000048" w14:textId="77777777" w:rsidR="00FA70FC" w:rsidRDefault="00000000">
      <w:pPr>
        <w:spacing w:before="240" w:after="2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2.Exacerbación de los síntomas e incremento del asma. </w:t>
      </w:r>
    </w:p>
    <w:p w14:paraId="00000049" w14:textId="77777777" w:rsidR="00FA70FC" w:rsidRDefault="00000000">
      <w:pPr>
        <w:spacing w:before="240" w:after="2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3.Aumento de riesgo de infartos al miocardio. </w:t>
      </w:r>
    </w:p>
    <w:p w14:paraId="0000004A" w14:textId="77777777" w:rsidR="00FA70FC" w:rsidRDefault="00000000">
      <w:pPr>
        <w:spacing w:before="240" w:after="2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4.Inflamacion pulmonar. </w:t>
      </w:r>
    </w:p>
    <w:p w14:paraId="0000004B" w14:textId="77777777" w:rsidR="00FA70FC" w:rsidRDefault="00000000">
      <w:pPr>
        <w:spacing w:before="240" w:after="2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5.Inflacion Sistémica. </w:t>
      </w:r>
    </w:p>
    <w:p w14:paraId="0000004C" w14:textId="77777777" w:rsidR="00FA70FC" w:rsidRDefault="00000000">
      <w:pPr>
        <w:spacing w:before="240" w:after="2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6.Disfunciones endoteliales y vasculares. </w:t>
      </w:r>
    </w:p>
    <w:p w14:paraId="0000004D" w14:textId="77777777" w:rsidR="00FA70FC" w:rsidRDefault="00000000">
      <w:pPr>
        <w:spacing w:before="240" w:after="2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7.Desarrollo de aterosclerosis. </w:t>
      </w:r>
    </w:p>
    <w:p w14:paraId="0000004E" w14:textId="77777777" w:rsidR="00FA70FC"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i/>
          <w:sz w:val="24"/>
          <w:szCs w:val="24"/>
        </w:rPr>
        <w:t>8.Incremento en la incidencia de infecciones y cáncer respiratorio.</w:t>
      </w:r>
      <w:r>
        <w:rPr>
          <w:rFonts w:ascii="Times New Roman" w:eastAsia="Times New Roman" w:hAnsi="Times New Roman" w:cs="Times New Roman"/>
          <w:sz w:val="24"/>
          <w:szCs w:val="24"/>
        </w:rPr>
        <w:t xml:space="preserve"> </w:t>
      </w:r>
    </w:p>
    <w:p w14:paraId="0000004F" w14:textId="77777777" w:rsidR="00FA70FC" w:rsidRDefault="00FA70FC">
      <w:pPr>
        <w:spacing w:before="240" w:after="240"/>
        <w:jc w:val="both"/>
        <w:rPr>
          <w:rFonts w:ascii="Times New Roman" w:eastAsia="Times New Roman" w:hAnsi="Times New Roman" w:cs="Times New Roman"/>
          <w:sz w:val="24"/>
          <w:szCs w:val="24"/>
        </w:rPr>
      </w:pPr>
    </w:p>
    <w:p w14:paraId="00000050" w14:textId="77777777" w:rsidR="00FA70FC" w:rsidRDefault="00000000">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Reclamación Observación </w:t>
      </w:r>
      <w:proofErr w:type="spellStart"/>
      <w:r>
        <w:rPr>
          <w:rFonts w:ascii="Times New Roman" w:eastAsia="Times New Roman" w:hAnsi="Times New Roman" w:cs="Times New Roman"/>
          <w:b/>
          <w:sz w:val="24"/>
          <w:szCs w:val="24"/>
        </w:rPr>
        <w:t>N°</w:t>
      </w:r>
      <w:proofErr w:type="spellEnd"/>
      <w:r>
        <w:rPr>
          <w:rFonts w:ascii="Times New Roman" w:eastAsia="Times New Roman" w:hAnsi="Times New Roman" w:cs="Times New Roman"/>
          <w:b/>
          <w:sz w:val="24"/>
          <w:szCs w:val="24"/>
        </w:rPr>
        <w:t xml:space="preserve"> 1</w:t>
      </w:r>
    </w:p>
    <w:p w14:paraId="00000051"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Considero que la respuesta a la observación no considera debidamente los principios de autosuficiencia y sistematización contenidos en el Oficio Ordinario </w:t>
      </w:r>
      <w:proofErr w:type="spellStart"/>
      <w:r>
        <w:rPr>
          <w:rFonts w:ascii="Times New Roman" w:eastAsia="Times New Roman" w:hAnsi="Times New Roman" w:cs="Times New Roman"/>
          <w:sz w:val="24"/>
          <w:szCs w:val="24"/>
        </w:rPr>
        <w:t>Nº</w:t>
      </w:r>
      <w:proofErr w:type="spellEnd"/>
      <w:r>
        <w:rPr>
          <w:rFonts w:ascii="Times New Roman" w:eastAsia="Times New Roman" w:hAnsi="Times New Roman" w:cs="Times New Roman"/>
          <w:sz w:val="24"/>
          <w:szCs w:val="24"/>
        </w:rPr>
        <w:t xml:space="preserve"> 130.528 del SEA. Primero, no se explicitan las consecuencias negativas del material particulado fino en la salud de las personas, tal como lo establece de manera explícita el Decreto 31 del Plan de Prevención y Descontaminación Atmosférica (PPDA) para la Región Metropolitana de Santiago. Este decreto subraya la relevancia de la fracción fina del material particulado (PM2.5 y PM10) debido a su capacidad de penetrar profundamente en los pulmones y, en algunos casos, ingresar al torrente sanguíneo, lo que provoca una serie de efectos negativos en la salud. La observación presentada identifica con claridad estos efectos graves, que incluyen aumento de riesgo de infartos al miocardio, inflamación pulmonar, inflamación sistémica, aumento significativo en el riesgo de infartos al miocardio, disfunciones endoteliales y vasculares, entre otros, siendo todos ellos condiciones ampliamente reconocidas en la literatura científica como graves amenazas para la salud pública.</w:t>
      </w:r>
    </w:p>
    <w:p w14:paraId="00000052"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pesar de que en la respuesta a la observación se reconoce que el Proyecto sobrepasará los límites del PPDA para MP10 en distintas fases, resulta preocupante que no se mencione ni se considere las posibles consecuencias negativas que podrían derivarse de este sobrepaso en los límites mencionados. La omisión de un análisis detallado y específico sobre cómo el aumento de las concentraciones de material particulado fino podría impactar negativamente en la salud de la población no solo compromete la completitud y precisión de la respuesta como se estipula en los criterios contenidos en el Oficio Ordinario </w:t>
      </w:r>
      <w:proofErr w:type="spellStart"/>
      <w:r>
        <w:rPr>
          <w:rFonts w:ascii="Times New Roman" w:eastAsia="Times New Roman" w:hAnsi="Times New Roman" w:cs="Times New Roman"/>
          <w:sz w:val="24"/>
          <w:szCs w:val="24"/>
        </w:rPr>
        <w:t>Nº</w:t>
      </w:r>
      <w:proofErr w:type="spellEnd"/>
      <w:r>
        <w:rPr>
          <w:rFonts w:ascii="Times New Roman" w:eastAsia="Times New Roman" w:hAnsi="Times New Roman" w:cs="Times New Roman"/>
          <w:sz w:val="24"/>
          <w:szCs w:val="24"/>
        </w:rPr>
        <w:t xml:space="preserve"> 130.528, sino que tampoco se hace responsable de los riesgos asociados a las personas por la exposición prolongada a estos contaminantes. Resulta insuficiente limitarse a señalar que el Proyecto excederá los límites establecidos, sin profundizar en las implicancias de tal situación, especialmente cuando estas implicancias tienen el potencial de afectar la salud pública de manera directa y significativa. La respuesta, al no abordar estas cuestiones fundamentales, deja de cumplir con los principios de autosuficiencia y sistematización contenidos en el Oficio Ordinario </w:t>
      </w:r>
      <w:proofErr w:type="spellStart"/>
      <w:r>
        <w:rPr>
          <w:rFonts w:ascii="Times New Roman" w:eastAsia="Times New Roman" w:hAnsi="Times New Roman" w:cs="Times New Roman"/>
          <w:sz w:val="24"/>
          <w:szCs w:val="24"/>
        </w:rPr>
        <w:t>Nº</w:t>
      </w:r>
      <w:proofErr w:type="spellEnd"/>
      <w:r>
        <w:rPr>
          <w:rFonts w:ascii="Times New Roman" w:eastAsia="Times New Roman" w:hAnsi="Times New Roman" w:cs="Times New Roman"/>
          <w:sz w:val="24"/>
          <w:szCs w:val="24"/>
        </w:rPr>
        <w:t xml:space="preserve"> 130.528 del SEA, respecto a la forma de considerar de manera adecuada la observación presentada.</w:t>
      </w:r>
    </w:p>
    <w:p w14:paraId="00000053"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segundo lugar, no se aborda de manera adecuada ni suficiente la forma en que se compensará la emisión de partículas finas durante la etapa de operación, tras haber sobrepasado los límites establecidos durante la etapa de construcción del Proyecto. La respuesta del Servicio de Evaluación Ambiental (SEA) menciona que, de acuerdo con la estimación cuantitativa de emisiones de material particulado MP10 y MP2,5, así como de gases </w:t>
      </w:r>
      <w:proofErr w:type="spellStart"/>
      <w:r>
        <w:rPr>
          <w:rFonts w:ascii="Times New Roman" w:eastAsia="Times New Roman" w:hAnsi="Times New Roman" w:cs="Times New Roman"/>
          <w:sz w:val="24"/>
          <w:szCs w:val="24"/>
        </w:rPr>
        <w:t>NOx</w:t>
      </w:r>
      <w:proofErr w:type="spellEnd"/>
      <w:r>
        <w:rPr>
          <w:rFonts w:ascii="Times New Roman" w:eastAsia="Times New Roman" w:hAnsi="Times New Roman" w:cs="Times New Roman"/>
          <w:sz w:val="24"/>
          <w:szCs w:val="24"/>
        </w:rPr>
        <w:t xml:space="preserve"> y SO2 realizada para la fase de construcción del Proyecto, y su posterior comparación con los límites máximos establecidos en el Artículo 64 del PPDA para la Región Metropolitana (D.S. </w:t>
      </w:r>
      <w:proofErr w:type="spellStart"/>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xml:space="preserve"> 31/2016 MMA), el Proyecto efectivamente sobrepasará los límites permitidos para MP10 durante esta fase, lo que obligará a implementar medidas de compensación en la etapa de operación. Sin embargo, esta afirmación, aunque reconoce la necesidad de compensar, falla en proporcionar un detalle claro y específico sobre cómo se llevará a cabo dicha compensación, lo que deja un vacío preocupante en la respuesta.</w:t>
      </w:r>
    </w:p>
    <w:p w14:paraId="00000054"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mencionar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SEA que de igual forma, “el Proyecto sobrepasará los límites del PPDA para MP10 equivalente en la fase de operación, por lo que deberá compensar emisiones en la fase de operación“,  considero que ni en el Anexo PAC de la RCA ni en las Adendas citadas se profundiza adecuadamente en el problema que surge al exigir que la fase de operación compense tanto las emisiones generadas durante la construcción, que ya sobrepasarán los límites del PPDA para MP10, como las emitidas durante la fase de operación, las cuales también excederán dicho límite.</w:t>
      </w:r>
    </w:p>
    <w:p w14:paraId="00000055"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situación, al no especificarse en el Anexo, no justifica que las medidas mencionadas por el Titular en el Proyecto no generen o presenten riesgos para la salud de la población debido a la cantidad y calidad de los efluentes y emisiones, en consideración a lo dispuesto en el artículo 5 del Reglamento del SEIA. Además, se produce una grave afectación a los principios de completitud y precisión, que deberían caracterizar un proceso de evaluación ambiental riguroso, generando una grave incertidumbre para la población respecto a cómo se llevará realmente estas medidas, la seriedad de éstas y el compromiso a cumplirlas por parte del Titular.</w:t>
      </w:r>
    </w:p>
    <w:p w14:paraId="00000056"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 ausencia de detalles concretos sobre cómo se compensarán las emisiones en la etapa de operación genera incertidumbre sobre la efectividad de dichas medidas para neutralizar o compensar los riesgos asociados con la emisión de partículas finas. Considerando la gravedad de las consecuencias que este tipo de contaminación podría tener en la salud pública y la insuficiencia de las medidas detalladas en el punto 5.1 del Anexo E de la Adenda Complementaria a las cuales se compromete el Titular, resulta fundamental que se entregue una explicación exhaustiva y fundamentada que permita comprender plenamente el alcance y la eficacia de las estrategias de compensación en la etapa de operación mencionadas por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SEA. Es insuficiente limitarse a mencionar la obligación de compensar sin detallar los métodos, tecnologías o procedimientos específicos que se implementarán para asegurar que las emisiones adicionales no perjudiquen la calidad del aire en la región, </w:t>
      </w:r>
      <w:proofErr w:type="gramStart"/>
      <w:r>
        <w:rPr>
          <w:rFonts w:ascii="Times New Roman" w:eastAsia="Times New Roman" w:hAnsi="Times New Roman" w:cs="Times New Roman"/>
          <w:sz w:val="24"/>
          <w:szCs w:val="24"/>
        </w:rPr>
        <w:t>y</w:t>
      </w:r>
      <w:proofErr w:type="gramEnd"/>
      <w:r>
        <w:rPr>
          <w:rFonts w:ascii="Times New Roman" w:eastAsia="Times New Roman" w:hAnsi="Times New Roman" w:cs="Times New Roman"/>
          <w:sz w:val="24"/>
          <w:szCs w:val="24"/>
        </w:rPr>
        <w:t xml:space="preserve"> por consiguiente, no genere las consecuencias negativas antes mencionadas en la salud de los residentes locales, como también en el cumplimiento de los estándares establecidos por las autoridades ambientales.</w:t>
      </w:r>
    </w:p>
    <w:p w14:paraId="00000057"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Conforme a lo anterior, es posible apreciar que, en la especie, no se ha realizado una debida consideración de esta observación y no se ha descartado adecuadamente la presencia de los efectos, características o circunstancias del artículo 11 literal a) de la Ley N°19.300.</w:t>
      </w:r>
    </w:p>
    <w:p w14:paraId="00000058" w14:textId="77777777" w:rsidR="00FA70FC" w:rsidRDefault="00FA70FC">
      <w:pPr>
        <w:spacing w:before="240" w:after="240"/>
        <w:jc w:val="both"/>
        <w:rPr>
          <w:rFonts w:ascii="Times New Roman" w:eastAsia="Times New Roman" w:hAnsi="Times New Roman" w:cs="Times New Roman"/>
          <w:sz w:val="24"/>
          <w:szCs w:val="24"/>
        </w:rPr>
      </w:pPr>
    </w:p>
    <w:p w14:paraId="00000059" w14:textId="77777777" w:rsidR="00FA70FC" w:rsidRDefault="00000000">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Observación </w:t>
      </w:r>
      <w:proofErr w:type="spellStart"/>
      <w:r>
        <w:rPr>
          <w:rFonts w:ascii="Times New Roman" w:eastAsia="Times New Roman" w:hAnsi="Times New Roman" w:cs="Times New Roman"/>
          <w:b/>
          <w:sz w:val="24"/>
          <w:szCs w:val="24"/>
        </w:rPr>
        <w:t>N°</w:t>
      </w:r>
      <w:proofErr w:type="spellEnd"/>
      <w:r>
        <w:rPr>
          <w:rFonts w:ascii="Times New Roman" w:eastAsia="Times New Roman" w:hAnsi="Times New Roman" w:cs="Times New Roman"/>
          <w:b/>
          <w:sz w:val="24"/>
          <w:szCs w:val="24"/>
        </w:rPr>
        <w:t xml:space="preserve"> 2 Daño al Ecosistema, Flora y Fauna</w:t>
      </w:r>
    </w:p>
    <w:p w14:paraId="0000005A" w14:textId="77777777" w:rsidR="00FA70FC" w:rsidRDefault="00000000">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“El cerro Punta Mocha posee grandes pisos </w:t>
      </w:r>
      <w:proofErr w:type="spellStart"/>
      <w:r>
        <w:rPr>
          <w:rFonts w:ascii="Times New Roman" w:eastAsia="Times New Roman" w:hAnsi="Times New Roman" w:cs="Times New Roman"/>
          <w:i/>
          <w:sz w:val="24"/>
          <w:szCs w:val="24"/>
        </w:rPr>
        <w:t>vegetacionales</w:t>
      </w:r>
      <w:proofErr w:type="spellEnd"/>
      <w:r>
        <w:rPr>
          <w:rFonts w:ascii="Times New Roman" w:eastAsia="Times New Roman" w:hAnsi="Times New Roman" w:cs="Times New Roman"/>
          <w:i/>
          <w:sz w:val="24"/>
          <w:szCs w:val="24"/>
        </w:rPr>
        <w:t xml:space="preserve"> que durante las épocas de invierno y primavera tiñen de nítidos colores a la población, asegurándose de mitigar los efectos negativos del cambio climático y la sequía, además, permite potenciar el desarrollo de todo tipo de vida silvestre como flora y fauna. En la actualidad se puede observar un hábitat seguro para todas las especies silvestres y aves presentes en ese sector, donde principalmente se reconocen conejos, ratones, cóndores, águilas y aguiluchos </w:t>
      </w:r>
    </w:p>
    <w:p w14:paraId="0000005B" w14:textId="77777777" w:rsidR="00FA70FC" w:rsidRDefault="00000000">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En la misma línea, luego de una extensa jornada de reconocimiento de aves realizada con un guía de aves en Chile, logramos observar aproximadamente 30 especies distintas, las que se detallan a continuación </w:t>
      </w:r>
    </w:p>
    <w:p w14:paraId="0000005C" w14:textId="77777777" w:rsidR="00FA70FC" w:rsidRDefault="00000000">
      <w:pPr>
        <w:numPr>
          <w:ilvl w:val="0"/>
          <w:numId w:val="3"/>
        </w:numPr>
        <w:spacing w:after="240"/>
        <w:jc w:val="both"/>
        <w:rPr>
          <w:i/>
        </w:rPr>
      </w:pPr>
      <w:r>
        <w:rPr>
          <w:rFonts w:ascii="Times New Roman" w:eastAsia="Times New Roman" w:hAnsi="Times New Roman" w:cs="Times New Roman"/>
          <w:i/>
          <w:sz w:val="24"/>
          <w:szCs w:val="24"/>
        </w:rPr>
        <w:t xml:space="preserve">Codorniz, Paloma doméstica, Tortolita cuyana, Tortolita cordillerana, Tórtola, Picaflor chico, Picaflor del norte, Queltehue común, Gaviota dominicana, Cóndor, Peuco, Aguilucho común, Águila, Tiuque, Cernícalo, Halcón peregrino, Cotorra, Tijeral común, Diucón, Golondrina chilena, Chercán común, Tenca chilena, Zorzal patagónico, Gorrión, Jilguero austral, Chincol, Loica común, Tordo, Diuca común, </w:t>
      </w:r>
      <w:proofErr w:type="spellStart"/>
      <w:r>
        <w:rPr>
          <w:rFonts w:ascii="Times New Roman" w:eastAsia="Times New Roman" w:hAnsi="Times New Roman" w:cs="Times New Roman"/>
          <w:i/>
          <w:sz w:val="24"/>
          <w:szCs w:val="24"/>
        </w:rPr>
        <w:t>Yal</w:t>
      </w:r>
      <w:proofErr w:type="spellEnd"/>
      <w:r>
        <w:rPr>
          <w:rFonts w:ascii="Times New Roman" w:eastAsia="Times New Roman" w:hAnsi="Times New Roman" w:cs="Times New Roman"/>
          <w:i/>
          <w:sz w:val="24"/>
          <w:szCs w:val="24"/>
        </w:rPr>
        <w:t xml:space="preserve"> común. </w:t>
      </w:r>
    </w:p>
    <w:p w14:paraId="0000005D" w14:textId="77777777" w:rsidR="00FA70FC" w:rsidRDefault="00000000">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0000005E" w14:textId="77777777" w:rsidR="00FA70FC" w:rsidRDefault="00000000">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Resulta importante precisar que, el trayecto donde se realizó la jornada de observación de aves considera gran parte del área de influencia del terreno destinado a la construcción del </w:t>
      </w:r>
      <w:r>
        <w:rPr>
          <w:rFonts w:ascii="Times New Roman" w:eastAsia="Times New Roman" w:hAnsi="Times New Roman" w:cs="Times New Roman"/>
          <w:i/>
          <w:sz w:val="24"/>
          <w:szCs w:val="24"/>
        </w:rPr>
        <w:lastRenderedPageBreak/>
        <w:t>centro de almacenamiento de datos, y del cerro punta mocha, donde se pretenden instalar las torres de alta tensión. “</w:t>
      </w:r>
    </w:p>
    <w:p w14:paraId="0000005F" w14:textId="77777777" w:rsidR="00FA70FC"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60" w14:textId="77777777" w:rsidR="00FA70FC"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Reclamación Observación </w:t>
      </w:r>
      <w:proofErr w:type="spellStart"/>
      <w:r>
        <w:rPr>
          <w:rFonts w:ascii="Times New Roman" w:eastAsia="Times New Roman" w:hAnsi="Times New Roman" w:cs="Times New Roman"/>
          <w:b/>
          <w:sz w:val="24"/>
          <w:szCs w:val="24"/>
        </w:rPr>
        <w:t>N°</w:t>
      </w:r>
      <w:proofErr w:type="spellEnd"/>
      <w:r>
        <w:rPr>
          <w:rFonts w:ascii="Times New Roman" w:eastAsia="Times New Roman" w:hAnsi="Times New Roman" w:cs="Times New Roman"/>
          <w:b/>
          <w:sz w:val="24"/>
          <w:szCs w:val="24"/>
        </w:rPr>
        <w:t xml:space="preserve"> 2</w:t>
      </w:r>
      <w:r>
        <w:rPr>
          <w:rFonts w:ascii="Times New Roman" w:eastAsia="Times New Roman" w:hAnsi="Times New Roman" w:cs="Times New Roman"/>
          <w:sz w:val="24"/>
          <w:szCs w:val="24"/>
        </w:rPr>
        <w:t xml:space="preserve"> </w:t>
      </w:r>
    </w:p>
    <w:p w14:paraId="00000061"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respuesta proporcionada por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SEA a la observación sobre el daño al ecosistema, flora y fauna en el área de influencia del Proyecto, no aborda de manera completa y precisa la observación ciudadana de acuerdo a los criterios de completitud y precisión contenidos en el Oficio Ordinario </w:t>
      </w:r>
      <w:proofErr w:type="spellStart"/>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xml:space="preserve"> 130.528 del SEA, por lo que no considero que se entreguen los fundamentos necesarios para un adecuado descarte de los efectos o circunstancias del artículo 11 literal b) de la Ley </w:t>
      </w:r>
      <w:proofErr w:type="gramStart"/>
      <w:r>
        <w:rPr>
          <w:rFonts w:ascii="Times New Roman" w:eastAsia="Times New Roman" w:hAnsi="Times New Roman" w:cs="Times New Roman"/>
          <w:sz w:val="24"/>
          <w:szCs w:val="24"/>
        </w:rPr>
        <w:t>19.300  .</w:t>
      </w:r>
      <w:proofErr w:type="gramEnd"/>
    </w:p>
    <w:p w14:paraId="00000062" w14:textId="77777777" w:rsidR="00FA70FC" w:rsidRDefault="00000000">
      <w:pPr>
        <w:spacing w:before="240" w:after="2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De acuerdo a</w:t>
      </w:r>
      <w:proofErr w:type="gramEnd"/>
      <w:r>
        <w:rPr>
          <w:rFonts w:ascii="Times New Roman" w:eastAsia="Times New Roman" w:hAnsi="Times New Roman" w:cs="Times New Roman"/>
          <w:sz w:val="24"/>
          <w:szCs w:val="24"/>
        </w:rPr>
        <w:t xml:space="preserve"> lo plasmado en el Anexo de la RCA,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SEA indica que se realizaron dos visitas al área del Proyecto durante las épocas de verano y otoño del 2022 para evaluar la fauna del lugar, utilizando métodos cualitativos, cuantitativos y sistemático para registrar la presencia de especies. Sin embargo, la metodología descrita no parece haber considerado adecuadamente la observación ciudadana, la cual reporta la presencia de al menos 30 especies distintas de aves en el área de influencia del Proyecto, muchas de las cuales son especies protegidas por la Ley de Cazas (Ley 19.473) La respuesta entregada por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SEA no ofrece un análisis comparativo entre las especies observadas por la comunidad y las registradas por el titular del Proyecto, lo que levanta dudas respecto a la exhaustividad y precisión de las campañas de terreno. Además,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SEA no explica cómo las observaciones realizadas durante un periodo limitado del año pueden representar de manera fiel la fauna de un área que, según la comunidad, es utilizada por especies migratorias y residentes, lo que es especialmente preocupante en el contexto de la actual crisis de biodiversidad, donde cada pérdida de hábitat tiene consecuencias graves para las especies afectadas.</w:t>
      </w:r>
    </w:p>
    <w:p w14:paraId="00000063"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Asimismo,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SEA sostiene que el área de influencia del Proyecto no constituye un hábitat significativo para la vida silvestre debido a su alta intervención antrópica, la presencia de especies urbanas y la actividad de perros y gatos domésticos que no forman parte de la fauna silvestre. Sin embargo, esta justificación menosprecia el valor ecológico de los pocos espacios naturales que van quedando en entornos urbanos y que actúan como zonas vitales para la biodiversidad en la localidad. En estos espacios, incluso las especies consideradas "comunes" por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SEA, desempeñan papeles importantes en el equilibrio ecológico, y su desplazamiento puede tener efectos negativos en cadena que afecten a otros elementos del ecosistema. Por todo esto, se considera que la respuesta del SEA es insuficiente e imprecisa, debido a que no sopesa estas dinámicas y se enfoca en minimizar el impacto del Proyecto basándose en una caracterización parcial y causando una incertidumbre respecto al daño que el área de influencia del Proyecto causará en la flora y fauna del lugar.</w:t>
      </w:r>
    </w:p>
    <w:p w14:paraId="00000064" w14:textId="77777777" w:rsidR="00FA70FC" w:rsidRDefault="00FA70FC">
      <w:pPr>
        <w:spacing w:before="240" w:after="240"/>
        <w:rPr>
          <w:rFonts w:ascii="Times New Roman" w:eastAsia="Times New Roman" w:hAnsi="Times New Roman" w:cs="Times New Roman"/>
          <w:sz w:val="24"/>
          <w:szCs w:val="24"/>
        </w:rPr>
      </w:pPr>
    </w:p>
    <w:p w14:paraId="00000065" w14:textId="77777777" w:rsidR="00FA70FC" w:rsidRDefault="00000000">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Observación </w:t>
      </w:r>
      <w:proofErr w:type="spellStart"/>
      <w:r>
        <w:rPr>
          <w:rFonts w:ascii="Times New Roman" w:eastAsia="Times New Roman" w:hAnsi="Times New Roman" w:cs="Times New Roman"/>
          <w:b/>
          <w:sz w:val="24"/>
          <w:szCs w:val="24"/>
        </w:rPr>
        <w:t>N°</w:t>
      </w:r>
      <w:proofErr w:type="spellEnd"/>
      <w:r>
        <w:rPr>
          <w:rFonts w:ascii="Times New Roman" w:eastAsia="Times New Roman" w:hAnsi="Times New Roman" w:cs="Times New Roman"/>
          <w:b/>
          <w:sz w:val="24"/>
          <w:szCs w:val="24"/>
        </w:rPr>
        <w:t xml:space="preserve"> 3 Daño al Valor Histórico y Paisajístico de los Cerros</w:t>
      </w:r>
    </w:p>
    <w:p w14:paraId="00000066" w14:textId="77777777" w:rsidR="00FA70FC" w:rsidRDefault="00000000">
      <w:pPr>
        <w:spacing w:before="240" w:after="24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“El cerro Punta Mocha, el cual es parte del área de influencia del centro de almacenamiento de datos y, además, donde pretenden instalar torres de alta tensión para darle electricidad al mismo, es parte de un cordón montañoso que rodea toda la comuna de Huechuraba, especialmente el sector </w:t>
      </w:r>
      <w:proofErr w:type="spellStart"/>
      <w:r>
        <w:rPr>
          <w:rFonts w:ascii="Times New Roman" w:eastAsia="Times New Roman" w:hAnsi="Times New Roman" w:cs="Times New Roman"/>
          <w:i/>
          <w:sz w:val="24"/>
          <w:szCs w:val="24"/>
        </w:rPr>
        <w:t>pincoyano</w:t>
      </w:r>
      <w:proofErr w:type="spellEnd"/>
      <w:r>
        <w:rPr>
          <w:rFonts w:ascii="Times New Roman" w:eastAsia="Times New Roman" w:hAnsi="Times New Roman" w:cs="Times New Roman"/>
          <w:i/>
          <w:sz w:val="24"/>
          <w:szCs w:val="24"/>
        </w:rPr>
        <w:t>. Este cerro tiene un alto valor para la comunidad, puesto que en este se realizan distintas actividades deportivas y recreacionales a diario, las que se detallan a continuación:</w:t>
      </w:r>
    </w:p>
    <w:p w14:paraId="00000067" w14:textId="77777777" w:rsidR="00FA70FC" w:rsidRDefault="00000000">
      <w:pPr>
        <w:spacing w:before="240" w:after="2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Trekking</w:t>
      </w:r>
      <w:proofErr w:type="spellEnd"/>
      <w:r>
        <w:rPr>
          <w:rFonts w:ascii="Times New Roman" w:eastAsia="Times New Roman" w:hAnsi="Times New Roman" w:cs="Times New Roman"/>
          <w:i/>
          <w:sz w:val="24"/>
          <w:szCs w:val="24"/>
        </w:rPr>
        <w:t>.</w:t>
      </w:r>
    </w:p>
    <w:p w14:paraId="00000068" w14:textId="77777777" w:rsidR="00FA70FC" w:rsidRDefault="00000000">
      <w:pPr>
        <w:spacing w:before="240" w:after="2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Senderismo.</w:t>
      </w:r>
    </w:p>
    <w:p w14:paraId="00000069" w14:textId="77777777" w:rsidR="00FA70FC" w:rsidRDefault="00000000">
      <w:pPr>
        <w:spacing w:before="240" w:after="2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Motocross.</w:t>
      </w:r>
    </w:p>
    <w:p w14:paraId="0000006A" w14:textId="77777777" w:rsidR="00FA70FC" w:rsidRDefault="00000000">
      <w:pPr>
        <w:spacing w:before="240" w:after="2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Ciclismo de montaña.</w:t>
      </w:r>
    </w:p>
    <w:p w14:paraId="0000006B" w14:textId="77777777" w:rsidR="00FA70FC" w:rsidRDefault="00000000">
      <w:pPr>
        <w:spacing w:before="240" w:after="2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Caminatas.</w:t>
      </w:r>
    </w:p>
    <w:p w14:paraId="0000006C" w14:textId="77777777" w:rsidR="00FA70FC" w:rsidRDefault="00000000">
      <w:pPr>
        <w:spacing w:before="240" w:after="2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Educación al aire libre.</w:t>
      </w:r>
    </w:p>
    <w:p w14:paraId="0000006D" w14:textId="77777777" w:rsidR="00FA70FC" w:rsidRDefault="00000000">
      <w:pPr>
        <w:spacing w:before="240" w:after="2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Elevado de volantines.</w:t>
      </w:r>
    </w:p>
    <w:p w14:paraId="0000006E" w14:textId="77777777" w:rsidR="00FA70FC" w:rsidRDefault="00000000">
      <w:pPr>
        <w:spacing w:before="240" w:after="2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Reuniones familiares</w:t>
      </w:r>
    </w:p>
    <w:p w14:paraId="0000006F" w14:textId="77777777" w:rsidR="00FA70FC" w:rsidRDefault="00000000">
      <w:pPr>
        <w:spacing w:before="240" w:after="2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Reuniones de amigos.</w:t>
      </w:r>
    </w:p>
    <w:p w14:paraId="00000070" w14:textId="77777777" w:rsidR="00FA70FC" w:rsidRDefault="00000000">
      <w:pPr>
        <w:spacing w:before="240" w:after="240"/>
        <w:rPr>
          <w:rFonts w:ascii="Times New Roman" w:eastAsia="Times New Roman" w:hAnsi="Times New Roman" w:cs="Times New Roman"/>
          <w:i/>
          <w:sz w:val="24"/>
          <w:szCs w:val="24"/>
        </w:rPr>
      </w:pPr>
      <w:r>
        <w:rPr>
          <w:rFonts w:ascii="Times New Roman" w:eastAsia="Times New Roman" w:hAnsi="Times New Roman" w:cs="Times New Roman"/>
          <w:i/>
          <w:sz w:val="24"/>
          <w:szCs w:val="24"/>
        </w:rPr>
        <w:t>Por otro lado, este cerro tiene un alto peso histórico debido a las actividades realizadas en éste antes, durante y posteriormente a la dictadura militar, estos se detallan a continuación:</w:t>
      </w:r>
    </w:p>
    <w:p w14:paraId="00000071" w14:textId="77777777" w:rsidR="00FA70FC" w:rsidRDefault="00000000">
      <w:pPr>
        <w:spacing w:before="240" w:after="2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Recolección de moras.</w:t>
      </w:r>
    </w:p>
    <w:p w14:paraId="00000072" w14:textId="77777777" w:rsidR="00FA70FC" w:rsidRDefault="00000000">
      <w:pPr>
        <w:spacing w:before="240" w:after="2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Recolección de frutos para ollas comunes.</w:t>
      </w:r>
    </w:p>
    <w:p w14:paraId="00000073" w14:textId="77777777" w:rsidR="00FA70FC" w:rsidRDefault="00000000">
      <w:pPr>
        <w:spacing w:before="240" w:after="2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Recolección de hierbas y medicina natural.</w:t>
      </w:r>
    </w:p>
    <w:p w14:paraId="00000074" w14:textId="77777777" w:rsidR="00FA70FC" w:rsidRDefault="00000000">
      <w:pPr>
        <w:spacing w:before="240" w:after="2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Jornadas de recreación familiar en verano (baños en el canal el Carmen).</w:t>
      </w:r>
    </w:p>
    <w:p w14:paraId="00000075" w14:textId="77777777" w:rsidR="00FA70FC" w:rsidRDefault="00000000">
      <w:pPr>
        <w:spacing w:before="240" w:after="2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Jornadas de recreación familiar en invierno (juegos en la nieve).</w:t>
      </w:r>
    </w:p>
    <w:p w14:paraId="00000076" w14:textId="77777777" w:rsidR="00FA70FC" w:rsidRDefault="00000000">
      <w:pPr>
        <w:spacing w:before="240" w:after="2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Entrenamiento del FPMR.</w:t>
      </w:r>
    </w:p>
    <w:p w14:paraId="00000077" w14:textId="77777777" w:rsidR="00FA70FC" w:rsidRDefault="00000000">
      <w:pPr>
        <w:spacing w:before="240" w:after="2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 Entre otros.</w:t>
      </w:r>
    </w:p>
    <w:p w14:paraId="00000078" w14:textId="77777777" w:rsidR="00FA70FC" w:rsidRDefault="00000000">
      <w:pPr>
        <w:spacing w:before="240" w:after="240"/>
        <w:rPr>
          <w:rFonts w:ascii="Times New Roman" w:eastAsia="Times New Roman" w:hAnsi="Times New Roman" w:cs="Times New Roman"/>
          <w:i/>
          <w:sz w:val="24"/>
          <w:szCs w:val="24"/>
        </w:rPr>
      </w:pPr>
      <w:r>
        <w:rPr>
          <w:rFonts w:ascii="Times New Roman" w:eastAsia="Times New Roman" w:hAnsi="Times New Roman" w:cs="Times New Roman"/>
          <w:i/>
          <w:sz w:val="24"/>
          <w:szCs w:val="24"/>
        </w:rPr>
        <w:t>Finalmente, resulta importante mencionar que este cerro forma parte de un pulmón verde en la Región Metropolitana, lo cual es importante, no solo para la comunidad principalmente afectada, sino que para una gran parte de la población de Santiago”.</w:t>
      </w:r>
    </w:p>
    <w:p w14:paraId="00000079" w14:textId="77777777" w:rsidR="00FA70FC"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7A" w14:textId="77777777" w:rsidR="00FA70FC" w:rsidRDefault="00000000">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Reclamación Observación </w:t>
      </w:r>
      <w:proofErr w:type="spellStart"/>
      <w:r>
        <w:rPr>
          <w:rFonts w:ascii="Times New Roman" w:eastAsia="Times New Roman" w:hAnsi="Times New Roman" w:cs="Times New Roman"/>
          <w:b/>
          <w:sz w:val="24"/>
          <w:szCs w:val="24"/>
        </w:rPr>
        <w:t>N°</w:t>
      </w:r>
      <w:proofErr w:type="spellEnd"/>
      <w:r>
        <w:rPr>
          <w:rFonts w:ascii="Times New Roman" w:eastAsia="Times New Roman" w:hAnsi="Times New Roman" w:cs="Times New Roman"/>
          <w:b/>
          <w:sz w:val="24"/>
          <w:szCs w:val="24"/>
        </w:rPr>
        <w:t xml:space="preserve"> 3</w:t>
      </w:r>
    </w:p>
    <w:p w14:paraId="0000007B"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respuesta proporcionada a la observación sobre el daño al valor histórico y paisajístico de los cerros, en especial el cerro Punta Mocha, no aborda de manera completa y precisa la observación </w:t>
      </w:r>
      <w:proofErr w:type="gramStart"/>
      <w:r>
        <w:rPr>
          <w:rFonts w:ascii="Times New Roman" w:eastAsia="Times New Roman" w:hAnsi="Times New Roman" w:cs="Times New Roman"/>
          <w:sz w:val="24"/>
          <w:szCs w:val="24"/>
        </w:rPr>
        <w:t>de acuerdo a</w:t>
      </w:r>
      <w:proofErr w:type="gramEnd"/>
      <w:r>
        <w:rPr>
          <w:rFonts w:ascii="Times New Roman" w:eastAsia="Times New Roman" w:hAnsi="Times New Roman" w:cs="Times New Roman"/>
          <w:sz w:val="24"/>
          <w:szCs w:val="24"/>
        </w:rPr>
        <w:t xml:space="preserve"> los criterios contenidos en el Oficio Ordinario </w:t>
      </w:r>
      <w:proofErr w:type="spellStart"/>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xml:space="preserve"> 130.528 del SEA. La preocupación expresada por la comunidad local en la </w:t>
      </w:r>
      <w:proofErr w:type="gramStart"/>
      <w:r>
        <w:rPr>
          <w:rFonts w:ascii="Times New Roman" w:eastAsia="Times New Roman" w:hAnsi="Times New Roman" w:cs="Times New Roman"/>
          <w:sz w:val="24"/>
          <w:szCs w:val="24"/>
        </w:rPr>
        <w:t>observación,</w:t>
      </w:r>
      <w:proofErr w:type="gramEnd"/>
      <w:r>
        <w:rPr>
          <w:rFonts w:ascii="Times New Roman" w:eastAsia="Times New Roman" w:hAnsi="Times New Roman" w:cs="Times New Roman"/>
          <w:sz w:val="24"/>
          <w:szCs w:val="24"/>
        </w:rPr>
        <w:t xml:space="preserve"> destaca la importancia de este cerro no solo como un espacio de valor paisajístico y recreacional, sino también como un sitio de significativo valor histórico y cultural, no solo para la comuna de Huechuraba, sino para toda la nación. Es por esto, que considero que no es posible certificar mediante la información entregada que no se produzcan los efectos del artículo 11 letra e) de la Ley N°19.300.</w:t>
      </w:r>
    </w:p>
    <w:p w14:paraId="0000007C"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primer lugar,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SEA no aborda de manera precisa y completa el impacto que la instalación del Proyecto podría tener sobre las actividades recreativas y culturales que se desarrollan en el cerro y que fueron destacadas en la observación. La simple ubicación de las obras dentro del área de influencia del Proyecto no es argumento suficiente para descartar cualquier posible impacto indirecto en el cerro y a las actividades que se llevan a cabo allí. La comunidad ha manifestado que este cerro es un pulmón verde para la Región Metropolitana y un espacio vital para su vida diaria, lo que debería haber sido considerado con mayor profundidad en el Anexo de la RCA.</w:t>
      </w:r>
    </w:p>
    <w:p w14:paraId="0000007D"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Además, la respuesta del SEA no considera adecuadamente la dimensión histórica y cultural del cerro Punta Mocha. La observación señala que este cerro ha sido un lugar de recolección de moras y frutos para ollas comunes, así como de otras actividades comunitarias y familiares, incluso durante períodos históricos tan significativos como la dictadura militar. Estas actividades no solo forman parte de la memoria colectiva de la comunidad, sino que también contribuyen al arraigo cultural y a la cohesión social de la población local. La respuesta del SEA omite evaluar cómo la alteración del entorno paisajístico y la introducción de infraestructuras cercanas podrían afectar estos valores culturales y la conexión de la comunidad con su entorno.</w:t>
      </w:r>
    </w:p>
    <w:p w14:paraId="0000007E"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vez de esto,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SEA se apoya en el "Informe de Caracterización de Sistemas de Vida y Costumbres de Grupos Humanos" para descartar la existencia de recursos naturales utilizados por los grupos humanos en el área de influencia del Proyecto. Sin embargo, este análisis se centra exclusivamente en la identificación de actividades agrícolas o económicas, dejando de lado las prácticas culturales y recreativas que también son formas importantes de interacción con el entorno natural que se afectará. La recolección de moras y frutos, las jornadas de recreación familiar, y otras actividades señaladas en la observación, no son simples costumbres menores, sino parte fundamental e integral de la identidad y del tejido social que se ha formado a lo largo del tiempo en la comunidad. Debido a que no se consideran estos aspectos, la respuesta no satisface los principios de completitud y precisión que deberían caracterizar un proceso de evaluación ambiental riguroso, </w:t>
      </w:r>
      <w:proofErr w:type="gramStart"/>
      <w:r>
        <w:rPr>
          <w:rFonts w:ascii="Times New Roman" w:eastAsia="Times New Roman" w:hAnsi="Times New Roman" w:cs="Times New Roman"/>
          <w:sz w:val="24"/>
          <w:szCs w:val="24"/>
        </w:rPr>
        <w:t>de acuerdo a</w:t>
      </w:r>
      <w:proofErr w:type="gramEnd"/>
      <w:r>
        <w:rPr>
          <w:rFonts w:ascii="Times New Roman" w:eastAsia="Times New Roman" w:hAnsi="Times New Roman" w:cs="Times New Roman"/>
          <w:sz w:val="24"/>
          <w:szCs w:val="24"/>
        </w:rPr>
        <w:t xml:space="preserve"> los criterios contenidos en el Oficio Ordinario </w:t>
      </w:r>
      <w:proofErr w:type="spellStart"/>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xml:space="preserve"> 130.528 del SEA.</w:t>
      </w:r>
    </w:p>
    <w:p w14:paraId="0000007F"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En esta misma línea,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SEA menciona que las obras y partes del Proyecto se ubican dentro del predio de propiedad del titular, por lo que no perjudican los puntos de acceso al cerro y que, por lo tanto, no se afectarían las actividades desarrolladas en él. No obstante, esta respuesta entregada ignora las posibles consecuencias indirectas que la construcción, y futura operación del Proyecto podría tener sobre la experiencia de las personas que visitan el cerro, como el incremento en el tránsito vehicular, la alteración del paisaje visual, y el importante aumento de la contaminación acústica, factores que podrían desincentivar el uso del cerro para las actividades recreacionales mencionadas en la observación. Por esto, consideramos que la respuesta del SEA no cumple con los criterios contenidos en el Oficio Ordinario </w:t>
      </w:r>
      <w:proofErr w:type="spellStart"/>
      <w:r>
        <w:rPr>
          <w:rFonts w:ascii="Times New Roman" w:eastAsia="Times New Roman" w:hAnsi="Times New Roman" w:cs="Times New Roman"/>
          <w:sz w:val="24"/>
          <w:szCs w:val="24"/>
        </w:rPr>
        <w:t>Nº</w:t>
      </w:r>
      <w:proofErr w:type="spellEnd"/>
      <w:r>
        <w:rPr>
          <w:rFonts w:ascii="Times New Roman" w:eastAsia="Times New Roman" w:hAnsi="Times New Roman" w:cs="Times New Roman"/>
          <w:sz w:val="24"/>
          <w:szCs w:val="24"/>
        </w:rPr>
        <w:t xml:space="preserve"> 130.528, al carecer de forma evidente de un análisis exhaustivo, integral y completo que considere no solo los impactos directos sobre el cerro Punta Mocha, sino también las afectaciones indirectas sobre las actividades culturales, recreativas e históricas que han sido fundamentales para la comunidad durante varios años.</w:t>
      </w:r>
    </w:p>
    <w:p w14:paraId="00000080" w14:textId="77777777" w:rsidR="00FA70FC" w:rsidRDefault="00FA70FC">
      <w:pPr>
        <w:spacing w:before="240" w:after="240"/>
        <w:jc w:val="both"/>
        <w:rPr>
          <w:rFonts w:ascii="Times New Roman" w:eastAsia="Times New Roman" w:hAnsi="Times New Roman" w:cs="Times New Roman"/>
          <w:sz w:val="24"/>
          <w:szCs w:val="24"/>
        </w:rPr>
      </w:pPr>
    </w:p>
    <w:p w14:paraId="00000081" w14:textId="77777777" w:rsidR="00FA70FC" w:rsidRDefault="00FA70FC">
      <w:pPr>
        <w:spacing w:before="240" w:after="240"/>
        <w:jc w:val="both"/>
        <w:rPr>
          <w:rFonts w:ascii="Times New Roman" w:eastAsia="Times New Roman" w:hAnsi="Times New Roman" w:cs="Times New Roman"/>
          <w:sz w:val="24"/>
          <w:szCs w:val="24"/>
        </w:rPr>
      </w:pPr>
    </w:p>
    <w:p w14:paraId="00000082" w14:textId="77777777" w:rsidR="00FA70FC" w:rsidRDefault="00000000">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Observación N°4 Daño al medio humano</w:t>
      </w:r>
    </w:p>
    <w:p w14:paraId="00000083" w14:textId="77777777" w:rsidR="00FA70FC" w:rsidRDefault="00000000">
      <w:pPr>
        <w:spacing w:before="240" w:after="240"/>
        <w:jc w:val="both"/>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 xml:space="preserve">Este proyecto, junto a las torres de alta tensión (proyecto fraccionado), tiene como área de influencia un territorio que tiene y tendrá un importante desarrollo urbano, donde se concentra una gran cantidad de personas. Los puntos relevantes de este tema son los siguientes:  Proyecto de vivienda social “Cumbres de Huechuraba”. Toma nueva Los Damascos (Cerro Punta Mocha).  Todas las unidades vecinales de la </w:t>
      </w:r>
      <w:proofErr w:type="spellStart"/>
      <w:r>
        <w:rPr>
          <w:rFonts w:ascii="Times New Roman" w:eastAsia="Times New Roman" w:hAnsi="Times New Roman" w:cs="Times New Roman"/>
          <w:i/>
          <w:sz w:val="24"/>
          <w:szCs w:val="24"/>
        </w:rPr>
        <w:t>Pincoya.Complejo</w:t>
      </w:r>
      <w:proofErr w:type="spellEnd"/>
      <w:r>
        <w:rPr>
          <w:rFonts w:ascii="Times New Roman" w:eastAsia="Times New Roman" w:hAnsi="Times New Roman" w:cs="Times New Roman"/>
          <w:i/>
          <w:sz w:val="24"/>
          <w:szCs w:val="24"/>
        </w:rPr>
        <w:t xml:space="preserve"> deportivo Raúl Inostroza (7 canchas). No consideraron la gran concentración de personas que se encuentran cercanas al proyecto, ni las consecuencias y repercusiones negativas que tendrán en la fase de construcción y ejecución.</w:t>
      </w:r>
    </w:p>
    <w:p w14:paraId="00000084" w14:textId="77777777" w:rsidR="00FA70FC" w:rsidRDefault="00000000">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Reclamación Observación N°4</w:t>
      </w:r>
    </w:p>
    <w:p w14:paraId="00000085" w14:textId="77777777" w:rsidR="00FA70FC"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respuesta proporcionada por la Autoridad Ambiental a la observación N°4, </w:t>
      </w:r>
      <w:proofErr w:type="gramStart"/>
      <w:r>
        <w:rPr>
          <w:rFonts w:ascii="Times New Roman" w:eastAsia="Times New Roman" w:hAnsi="Times New Roman" w:cs="Times New Roman"/>
          <w:sz w:val="24"/>
          <w:szCs w:val="24"/>
        </w:rPr>
        <w:t>en relación al</w:t>
      </w:r>
      <w:proofErr w:type="gramEnd"/>
      <w:r>
        <w:rPr>
          <w:rFonts w:ascii="Times New Roman" w:eastAsia="Times New Roman" w:hAnsi="Times New Roman" w:cs="Times New Roman"/>
          <w:sz w:val="24"/>
          <w:szCs w:val="24"/>
        </w:rPr>
        <w:t xml:space="preserve"> impacto al medio humano, no entrega los fundamentos necesarios para un adecuado descarte de los efectos característicos o circunstancias del artículo 11 letra c) de la Ley, en relación al artículo 7° del Decreto Supremo N°40/2012 del ministerio de medio ambiente. Esto debido a que no aborda de manera clara y precisa el análisis que realizó a los numerales del artículo 7° del Decreto Supremo N°40/2012 del Ministerio de Medio Ambiente, por lo cual tampoco estaría cumpliendo con los criterios establecidos en el Oficio Ordinario </w:t>
      </w:r>
      <w:proofErr w:type="spellStart"/>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xml:space="preserve"> 130.528 del SEA que determinan cómo se deben de considerar las observaciones ciudadanas, todo esto en base a la poca argumentación que ha sido entregada al momento de dar la respuesta a la observación</w:t>
      </w:r>
    </w:p>
    <w:p w14:paraId="00000086" w14:textId="77777777" w:rsidR="00FA70FC" w:rsidRDefault="00FA70FC">
      <w:pPr>
        <w:jc w:val="both"/>
        <w:rPr>
          <w:rFonts w:ascii="Times New Roman" w:eastAsia="Times New Roman" w:hAnsi="Times New Roman" w:cs="Times New Roman"/>
          <w:sz w:val="24"/>
          <w:szCs w:val="24"/>
        </w:rPr>
      </w:pPr>
    </w:p>
    <w:p w14:paraId="00000087" w14:textId="3736D320" w:rsidR="00FA70FC"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relación a la definición del área de influencia en base a los potenciales impactos del Proyecto sobre los grupos humanos que habitan o desarrollan actividades en el área de estudio, hay que mencionar que no es clara la forma en como fue delimitada el Área de Influencia y su área geográfica, ya que no se especifica el motivo de porque el polígono del área de influencia fue </w:t>
      </w:r>
      <w:r>
        <w:rPr>
          <w:rFonts w:ascii="Times New Roman" w:eastAsia="Times New Roman" w:hAnsi="Times New Roman" w:cs="Times New Roman"/>
          <w:sz w:val="24"/>
          <w:szCs w:val="24"/>
        </w:rPr>
        <w:lastRenderedPageBreak/>
        <w:t xml:space="preserve">conformado por las calles que fueron determinadas en la respuesta a la observación y no por otras calles que se encuentran a metros de las anteriores </w:t>
      </w:r>
      <w:r w:rsidR="007E32D3">
        <w:rPr>
          <w:rFonts w:ascii="Times New Roman" w:eastAsia="Times New Roman" w:hAnsi="Times New Roman" w:cs="Times New Roman"/>
          <w:sz w:val="24"/>
          <w:szCs w:val="24"/>
        </w:rPr>
        <w:t>mencionadas. Este</w:t>
      </w:r>
      <w:r>
        <w:rPr>
          <w:rFonts w:ascii="Times New Roman" w:eastAsia="Times New Roman" w:hAnsi="Times New Roman" w:cs="Times New Roman"/>
          <w:sz w:val="24"/>
          <w:szCs w:val="24"/>
        </w:rPr>
        <w:t xml:space="preserve"> hecho es importante debido a que, si hubieran sido consideradas otras calles a la hora de la determinación del polígono geográfico del área de influencia, otras áreas importantes para la comunidad hubieran sido parte del área de influencia, como lo puede ser el Complejo deportivo </w:t>
      </w:r>
      <w:r w:rsidR="007E32D3">
        <w:rPr>
          <w:rFonts w:ascii="Times New Roman" w:eastAsia="Times New Roman" w:hAnsi="Times New Roman" w:cs="Times New Roman"/>
          <w:sz w:val="24"/>
          <w:szCs w:val="24"/>
        </w:rPr>
        <w:t>Raúl</w:t>
      </w:r>
      <w:r>
        <w:rPr>
          <w:rFonts w:ascii="Times New Roman" w:eastAsia="Times New Roman" w:hAnsi="Times New Roman" w:cs="Times New Roman"/>
          <w:sz w:val="24"/>
          <w:szCs w:val="24"/>
        </w:rPr>
        <w:t xml:space="preserve"> Inostroza que actualmente no se encuentra considerado dentro siendo que es clara su poca distancia que tiene del Proyecto.</w:t>
      </w:r>
    </w:p>
    <w:p w14:paraId="00000088" w14:textId="77777777" w:rsidR="00FA70FC" w:rsidRDefault="00FA70FC">
      <w:pPr>
        <w:jc w:val="both"/>
        <w:rPr>
          <w:rFonts w:ascii="Times New Roman" w:eastAsia="Times New Roman" w:hAnsi="Times New Roman" w:cs="Times New Roman"/>
          <w:sz w:val="24"/>
          <w:szCs w:val="24"/>
        </w:rPr>
      </w:pPr>
    </w:p>
    <w:p w14:paraId="00000089" w14:textId="77777777" w:rsidR="00FA70FC"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Además, también en relación con la forma en la que se determinó el área de influencia, si bien para la evaluación del área de influencia la autoridad Ambiental se guió por la metodología propuesta por la “Guía de descripción del área de influencia de Sistemas de vida y costumbres de grupos humanos en el SEIA”, no consideró en su ejercicio de delimitación del área de influencia todos los posibles factores generadores de impacto que se pueden llegar a presentar en el contexto del Proyecto, ya que solo utilizó los ejemplos de criterios que se entregan en la Guía de descripción del área de influencia de Sistemas de vida y costumbres de grupos humanos en el SEIA, pero estos no son los únicos posibles factores generadores de impacto que pueden llegar a afectar a </w:t>
      </w:r>
      <w:proofErr w:type="spellStart"/>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xml:space="preserve"> la comunidad.</w:t>
      </w:r>
    </w:p>
    <w:p w14:paraId="0000008A" w14:textId="77777777" w:rsidR="00FA70FC" w:rsidRDefault="00FA70FC">
      <w:pPr>
        <w:jc w:val="both"/>
        <w:rPr>
          <w:rFonts w:ascii="Times New Roman" w:eastAsia="Times New Roman" w:hAnsi="Times New Roman" w:cs="Times New Roman"/>
          <w:sz w:val="24"/>
          <w:szCs w:val="24"/>
        </w:rPr>
      </w:pPr>
    </w:p>
    <w:p w14:paraId="0000008B" w14:textId="77777777" w:rsidR="00FA70FC"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Existe un tema que se hace mención en la observación que tiene relación con los factores generadores de impacto para la comunidad, que no ha sido tomado en consideración por la autoridad ambiental y es el hecho de la instalación de las torres de alta tensión que serán las encargadas de otorgar energía al Proyecto. Es claro que el Proyecto necesita de algún tipo de fuente de energía para su funcionamiento, por lo cual no se puede omitir este hecho si se quieren determinar todos los impactos que serán generados en contra de la comunidad, la instalación de las torres de alta tensión es un elemento importante al momento de considerar el área de influencia del Proyecto debido a que se debe de considerar como un factor generador de impacto, por lo cual esta situación de no contemplar adecuadamente la instalación de torres de alta tensión para otorgar energía al Proyecto influye directamente en la consideración del área de influencia y en la determinación de la generación por parte del Proyecto en cuestión de los efectos del artículo 11 de la Ley 19,300.</w:t>
      </w:r>
    </w:p>
    <w:p w14:paraId="0000008C" w14:textId="77777777" w:rsidR="00FA70FC" w:rsidRDefault="00FA70FC">
      <w:pPr>
        <w:jc w:val="both"/>
        <w:rPr>
          <w:rFonts w:ascii="Times New Roman" w:eastAsia="Times New Roman" w:hAnsi="Times New Roman" w:cs="Times New Roman"/>
          <w:sz w:val="24"/>
          <w:szCs w:val="24"/>
        </w:rPr>
      </w:pPr>
    </w:p>
    <w:p w14:paraId="0000008D" w14:textId="77777777" w:rsidR="00FA70FC"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Son por dichas razones que considero que la respuesta a la observación número 4 realizada por la autoridad </w:t>
      </w:r>
      <w:proofErr w:type="gramStart"/>
      <w:r>
        <w:rPr>
          <w:rFonts w:ascii="Times New Roman" w:eastAsia="Times New Roman" w:hAnsi="Times New Roman" w:cs="Times New Roman"/>
          <w:sz w:val="24"/>
          <w:szCs w:val="24"/>
        </w:rPr>
        <w:t>ambiental,  no</w:t>
      </w:r>
      <w:proofErr w:type="gramEnd"/>
      <w:r>
        <w:rPr>
          <w:rFonts w:ascii="Times New Roman" w:eastAsia="Times New Roman" w:hAnsi="Times New Roman" w:cs="Times New Roman"/>
          <w:sz w:val="24"/>
          <w:szCs w:val="24"/>
        </w:rPr>
        <w:t xml:space="preserve"> es suficiente para descartar que el Proyecto en cuestión no genera los efectos del artículo 11 de la ley 19.300, ni tampoco para esclarecer las dudas sobre la determinación del área de influencia.</w:t>
      </w:r>
    </w:p>
    <w:p w14:paraId="0000008E" w14:textId="77777777" w:rsidR="00FA70FC" w:rsidRDefault="00FA70FC">
      <w:pPr>
        <w:spacing w:before="240" w:after="240"/>
        <w:jc w:val="both"/>
        <w:rPr>
          <w:rFonts w:ascii="Times New Roman" w:eastAsia="Times New Roman" w:hAnsi="Times New Roman" w:cs="Times New Roman"/>
          <w:b/>
          <w:sz w:val="24"/>
          <w:szCs w:val="24"/>
        </w:rPr>
      </w:pPr>
    </w:p>
    <w:p w14:paraId="0000008F" w14:textId="77777777" w:rsidR="00FA70FC" w:rsidRDefault="00000000">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POR TANTO, y en virtud de lo expuesto y de lo dispuesto en los artículos 20 y 29 de la Ley Nº19.300, y demás normativa pertinente;</w:t>
      </w:r>
    </w:p>
    <w:p w14:paraId="00000090" w14:textId="77777777" w:rsidR="00FA70FC" w:rsidRDefault="00000000">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91" w14:textId="77777777" w:rsidR="00FA70FC" w:rsidRDefault="00FA70FC">
      <w:pPr>
        <w:spacing w:before="240" w:after="240"/>
        <w:jc w:val="both"/>
        <w:rPr>
          <w:rFonts w:ascii="Times New Roman" w:eastAsia="Times New Roman" w:hAnsi="Times New Roman" w:cs="Times New Roman"/>
          <w:b/>
          <w:sz w:val="24"/>
          <w:szCs w:val="24"/>
        </w:rPr>
      </w:pPr>
    </w:p>
    <w:p w14:paraId="00000092"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SOLICITO A LA SEÑORA DIRECTORA EJECUTIVA DEL SEA</w:t>
      </w:r>
      <w:r>
        <w:rPr>
          <w:rFonts w:ascii="Times New Roman" w:eastAsia="Times New Roman" w:hAnsi="Times New Roman" w:cs="Times New Roman"/>
          <w:sz w:val="24"/>
          <w:szCs w:val="24"/>
        </w:rPr>
        <w:t>, tener por deducida Reclamación en contra de la Resolución Exenta 20241300128, dictada por la Comisión de Evaluación Ambiental</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de la Región Metropolitana de Santiago, el día 12 de julio de 2024, que califica favorablemente “Centro De Almacenamiento de Datos Huechuraba” y con el mérito de lo señalado, admitir a trámite la presente recurso de reclamación, y en definitiva acogerlo en todas sus partes, ordenando que se deje sin efecto la resolución impugnada por no haberse considerado debidamente las observaciones ciudadanas de quien reclama, conculcando –por tanto– la normativa ambiental vigente, no lográndose descartar, además, la generación por parte del Proyecto, de los efectos, características y circunstancias de las letras a), b) y c) del artículo 11 de la Ley N°19.300, cuya concurrencia hace necesario el ingreso al SEIA a través de un EIA; y, en su reemplazo, se dicte la debida resolución de rechazo del Proyecto “Centro de Datos de Almacenamiento Huechuraba”, o lo que en derecho corresponda.</w:t>
      </w:r>
    </w:p>
    <w:p w14:paraId="00000093" w14:textId="77777777" w:rsidR="00FA70FC" w:rsidRDefault="00000000">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94" w14:textId="77777777" w:rsidR="00FA70FC" w:rsidRDefault="00000000">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PRIMER OTROSÍ</w:t>
      </w:r>
      <w:r>
        <w:rPr>
          <w:rFonts w:ascii="Times New Roman" w:eastAsia="Times New Roman" w:hAnsi="Times New Roman" w:cs="Times New Roman"/>
          <w:b/>
          <w:sz w:val="24"/>
          <w:szCs w:val="24"/>
        </w:rPr>
        <w:t>: Suspensión de los efectos del acto impugnado.</w:t>
      </w:r>
    </w:p>
    <w:p w14:paraId="00000095"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Dada los graves perjuicios que puede generar la ejecución del Proyecto, en los términos la Resolución Exenta 20241300128, dictada por la Comisión de Evaluación Ambiental</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de la Región Metropolitana de Santiago, el día 12 de julio de 2024 que lo calificó favorablemente y teniendo presente lo dispuesto en el artículo 57 de la Ley N°19.880, solicito la suspensión de los efectos del acto recurrido, de manera de evitar un daño irreparable o la imposibilidad del cumplimiento de lo que se resolviere, en caso de acogerse el recurso.</w:t>
      </w:r>
    </w:p>
    <w:p w14:paraId="00000096" w14:textId="77777777" w:rsidR="00FA70FC" w:rsidRDefault="00000000">
      <w:pPr>
        <w:spacing w:before="240" w:after="240"/>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 </w:t>
      </w:r>
    </w:p>
    <w:p w14:paraId="00000097"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SEGUNDO OTROSÍ</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Solicitamos a la Sra. </w:t>
      </w:r>
      <w:proofErr w:type="gramStart"/>
      <w:r>
        <w:rPr>
          <w:rFonts w:ascii="Times New Roman" w:eastAsia="Times New Roman" w:hAnsi="Times New Roman" w:cs="Times New Roman"/>
          <w:sz w:val="24"/>
          <w:szCs w:val="24"/>
        </w:rPr>
        <w:t>Directora Ejecutiva</w:t>
      </w:r>
      <w:proofErr w:type="gramEnd"/>
      <w:r>
        <w:rPr>
          <w:rFonts w:ascii="Times New Roman" w:eastAsia="Times New Roman" w:hAnsi="Times New Roman" w:cs="Times New Roman"/>
          <w:sz w:val="24"/>
          <w:szCs w:val="24"/>
        </w:rPr>
        <w:t xml:space="preserve"> tener por acompañados los siguientes documentos:</w:t>
      </w:r>
    </w:p>
    <w:p w14:paraId="00000098" w14:textId="77777777" w:rsidR="00FA70FC" w:rsidRDefault="00000000">
      <w:pPr>
        <w:numPr>
          <w:ilvl w:val="0"/>
          <w:numId w:val="1"/>
        </w:num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Copia de notificación de RCA, enviada a través de la casilla de correo electrónico, con fecha 19 de julio de 2024. </w:t>
      </w:r>
      <w:hyperlink r:id="rId5">
        <w:r>
          <w:rPr>
            <w:rFonts w:ascii="Times New Roman" w:eastAsia="Times New Roman" w:hAnsi="Times New Roman" w:cs="Times New Roman"/>
            <w:color w:val="1155CC"/>
            <w:sz w:val="24"/>
            <w:szCs w:val="24"/>
            <w:u w:val="single"/>
          </w:rPr>
          <w:t>https://seia.sea.gob.cl/archivos/2024/07/23/Notificacion_de_RCA_Centro_de_Almacenamiento_de_Datos_Huechuraba.pdf</w:t>
        </w:r>
      </w:hyperlink>
    </w:p>
    <w:p w14:paraId="00000099" w14:textId="77777777" w:rsidR="00FA70FC" w:rsidRDefault="00000000">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9A" w14:textId="77777777" w:rsidR="00FA70FC"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TERCER OTROSÍ</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Solicito a la Sra. </w:t>
      </w:r>
      <w:proofErr w:type="gramStart"/>
      <w:r>
        <w:rPr>
          <w:rFonts w:ascii="Times New Roman" w:eastAsia="Times New Roman" w:hAnsi="Times New Roman" w:cs="Times New Roman"/>
          <w:sz w:val="24"/>
          <w:szCs w:val="24"/>
        </w:rPr>
        <w:t>Directora Ejecutiva</w:t>
      </w:r>
      <w:proofErr w:type="gramEnd"/>
      <w:r>
        <w:rPr>
          <w:rFonts w:ascii="Times New Roman" w:eastAsia="Times New Roman" w:hAnsi="Times New Roman" w:cs="Times New Roman"/>
          <w:sz w:val="24"/>
          <w:szCs w:val="24"/>
        </w:rPr>
        <w:t xml:space="preserve"> del SEA tener presente que, señalo como forma de notificación el siguiente correo electrónico: </w:t>
      </w:r>
    </w:p>
    <w:p w14:paraId="0000009B" w14:textId="77777777" w:rsidR="00FA70FC" w:rsidRDefault="00000000">
      <w:pPr>
        <w:numPr>
          <w:ilvl w:val="0"/>
          <w:numId w:val="2"/>
        </w:num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carolina.andreaa16.01@gmail.com </w:t>
      </w:r>
    </w:p>
    <w:p w14:paraId="0000009C" w14:textId="77777777" w:rsidR="00FA70FC" w:rsidRDefault="00000000">
      <w:pPr>
        <w:numPr>
          <w:ilvl w:val="0"/>
          <w:numId w:val="2"/>
        </w:num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pincoyazo@gmail.com</w:t>
      </w:r>
    </w:p>
    <w:p w14:paraId="0000009D" w14:textId="77777777" w:rsidR="00FA70FC" w:rsidRDefault="00FA70FC">
      <w:pPr>
        <w:spacing w:before="240" w:after="240"/>
        <w:jc w:val="both"/>
        <w:rPr>
          <w:rFonts w:ascii="Times New Roman" w:eastAsia="Times New Roman" w:hAnsi="Times New Roman" w:cs="Times New Roman"/>
          <w:b/>
          <w:sz w:val="24"/>
          <w:szCs w:val="24"/>
        </w:rPr>
      </w:pPr>
    </w:p>
    <w:p w14:paraId="0000009E" w14:textId="77777777" w:rsidR="00FA70FC" w:rsidRDefault="00FA70FC">
      <w:pPr>
        <w:spacing w:before="240" w:after="240"/>
        <w:jc w:val="both"/>
        <w:rPr>
          <w:rFonts w:ascii="Times New Roman" w:eastAsia="Times New Roman" w:hAnsi="Times New Roman" w:cs="Times New Roman"/>
          <w:b/>
          <w:sz w:val="24"/>
          <w:szCs w:val="24"/>
        </w:rPr>
      </w:pPr>
    </w:p>
    <w:p w14:paraId="0000009F" w14:textId="77777777" w:rsidR="00FA70FC" w:rsidRDefault="00FA70FC">
      <w:pPr>
        <w:spacing w:before="240" w:after="240"/>
        <w:jc w:val="both"/>
        <w:rPr>
          <w:rFonts w:ascii="Times New Roman" w:eastAsia="Times New Roman" w:hAnsi="Times New Roman" w:cs="Times New Roman"/>
          <w:b/>
          <w:sz w:val="24"/>
          <w:szCs w:val="24"/>
        </w:rPr>
      </w:pPr>
    </w:p>
    <w:p w14:paraId="000000A0" w14:textId="77777777" w:rsidR="00FA70FC" w:rsidRDefault="00FA70FC">
      <w:pPr>
        <w:spacing w:before="240" w:after="240"/>
        <w:jc w:val="both"/>
        <w:rPr>
          <w:rFonts w:ascii="Times New Roman" w:eastAsia="Times New Roman" w:hAnsi="Times New Roman" w:cs="Times New Roman"/>
          <w:b/>
          <w:sz w:val="24"/>
          <w:szCs w:val="24"/>
        </w:rPr>
      </w:pPr>
    </w:p>
    <w:p w14:paraId="000000A1" w14:textId="77777777" w:rsidR="00FA70FC" w:rsidRDefault="00FA70FC">
      <w:pPr>
        <w:spacing w:before="240" w:after="240"/>
        <w:jc w:val="both"/>
        <w:rPr>
          <w:rFonts w:ascii="Times New Roman" w:eastAsia="Times New Roman" w:hAnsi="Times New Roman" w:cs="Times New Roman"/>
          <w:b/>
          <w:sz w:val="24"/>
          <w:szCs w:val="24"/>
        </w:rPr>
      </w:pPr>
    </w:p>
    <w:p w14:paraId="000000A2" w14:textId="77777777" w:rsidR="00FA70FC" w:rsidRDefault="00FA70FC">
      <w:pPr>
        <w:spacing w:before="240" w:after="240"/>
        <w:jc w:val="both"/>
        <w:rPr>
          <w:rFonts w:ascii="Times New Roman" w:eastAsia="Times New Roman" w:hAnsi="Times New Roman" w:cs="Times New Roman"/>
          <w:b/>
          <w:sz w:val="24"/>
          <w:szCs w:val="24"/>
        </w:rPr>
      </w:pPr>
    </w:p>
    <w:p w14:paraId="000000A3" w14:textId="77777777" w:rsidR="00FA70FC" w:rsidRDefault="00FA70FC">
      <w:pPr>
        <w:spacing w:before="240" w:after="240"/>
        <w:jc w:val="both"/>
        <w:rPr>
          <w:rFonts w:ascii="Times New Roman" w:eastAsia="Times New Roman" w:hAnsi="Times New Roman" w:cs="Times New Roman"/>
          <w:b/>
          <w:sz w:val="24"/>
          <w:szCs w:val="24"/>
        </w:rPr>
      </w:pPr>
    </w:p>
    <w:p w14:paraId="000000A4" w14:textId="77777777" w:rsidR="00FA70FC" w:rsidRDefault="00FA70FC">
      <w:pPr>
        <w:spacing w:before="240" w:after="240"/>
        <w:jc w:val="both"/>
        <w:rPr>
          <w:rFonts w:ascii="Times New Roman" w:eastAsia="Times New Roman" w:hAnsi="Times New Roman" w:cs="Times New Roman"/>
          <w:b/>
          <w:sz w:val="24"/>
          <w:szCs w:val="24"/>
        </w:rPr>
      </w:pPr>
    </w:p>
    <w:p w14:paraId="000000A5" w14:textId="77777777" w:rsidR="00FA70FC" w:rsidRDefault="00FA70FC">
      <w:pPr>
        <w:spacing w:before="240" w:after="240"/>
        <w:jc w:val="both"/>
        <w:rPr>
          <w:rFonts w:ascii="Times New Roman" w:eastAsia="Times New Roman" w:hAnsi="Times New Roman" w:cs="Times New Roman"/>
          <w:b/>
          <w:sz w:val="24"/>
          <w:szCs w:val="24"/>
        </w:rPr>
      </w:pPr>
    </w:p>
    <w:p w14:paraId="000000A6" w14:textId="77777777" w:rsidR="00FA70FC" w:rsidRDefault="00FA70FC">
      <w:pPr>
        <w:spacing w:before="240" w:after="240"/>
        <w:jc w:val="both"/>
        <w:rPr>
          <w:rFonts w:ascii="Times New Roman" w:eastAsia="Times New Roman" w:hAnsi="Times New Roman" w:cs="Times New Roman"/>
          <w:b/>
          <w:sz w:val="24"/>
          <w:szCs w:val="24"/>
        </w:rPr>
      </w:pPr>
    </w:p>
    <w:p w14:paraId="000000A7" w14:textId="77777777" w:rsidR="00FA70FC" w:rsidRDefault="00FA70FC">
      <w:pPr>
        <w:spacing w:before="240" w:after="240"/>
        <w:jc w:val="both"/>
        <w:rPr>
          <w:rFonts w:ascii="Times New Roman" w:eastAsia="Times New Roman" w:hAnsi="Times New Roman" w:cs="Times New Roman"/>
          <w:b/>
          <w:sz w:val="24"/>
          <w:szCs w:val="24"/>
        </w:rPr>
      </w:pPr>
    </w:p>
    <w:p w14:paraId="000000A8" w14:textId="77777777" w:rsidR="00FA70FC" w:rsidRDefault="00FA70FC">
      <w:pPr>
        <w:spacing w:before="240" w:after="240"/>
        <w:jc w:val="both"/>
        <w:rPr>
          <w:rFonts w:ascii="Times New Roman" w:eastAsia="Times New Roman" w:hAnsi="Times New Roman" w:cs="Times New Roman"/>
          <w:b/>
          <w:sz w:val="24"/>
          <w:szCs w:val="24"/>
        </w:rPr>
      </w:pPr>
    </w:p>
    <w:p w14:paraId="000000A9" w14:textId="77777777" w:rsidR="00FA70FC" w:rsidRDefault="00FA70FC">
      <w:pPr>
        <w:spacing w:before="240" w:after="240"/>
        <w:jc w:val="both"/>
        <w:rPr>
          <w:rFonts w:ascii="Times New Roman" w:eastAsia="Times New Roman" w:hAnsi="Times New Roman" w:cs="Times New Roman"/>
          <w:b/>
          <w:sz w:val="24"/>
          <w:szCs w:val="24"/>
        </w:rPr>
      </w:pPr>
    </w:p>
    <w:p w14:paraId="000000AA" w14:textId="77777777" w:rsidR="00FA70FC" w:rsidRDefault="00FA70FC">
      <w:pPr>
        <w:spacing w:before="240" w:after="240"/>
        <w:jc w:val="both"/>
        <w:rPr>
          <w:rFonts w:ascii="Times New Roman" w:eastAsia="Times New Roman" w:hAnsi="Times New Roman" w:cs="Times New Roman"/>
          <w:b/>
          <w:sz w:val="24"/>
          <w:szCs w:val="24"/>
        </w:rPr>
      </w:pPr>
    </w:p>
    <w:p w14:paraId="000000AB" w14:textId="77777777" w:rsidR="00FA70FC" w:rsidRDefault="00FA70FC">
      <w:pPr>
        <w:spacing w:before="240" w:after="240"/>
        <w:jc w:val="both"/>
        <w:rPr>
          <w:rFonts w:ascii="Times New Roman" w:eastAsia="Times New Roman" w:hAnsi="Times New Roman" w:cs="Times New Roman"/>
          <w:b/>
          <w:sz w:val="24"/>
          <w:szCs w:val="24"/>
        </w:rPr>
      </w:pPr>
    </w:p>
    <w:p w14:paraId="000000AC" w14:textId="77777777" w:rsidR="00FA70FC" w:rsidRDefault="00FA70FC"/>
    <w:sectPr w:rsidR="00FA70F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858B5"/>
    <w:multiLevelType w:val="multilevel"/>
    <w:tmpl w:val="9E42C6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0E5A44"/>
    <w:multiLevelType w:val="multilevel"/>
    <w:tmpl w:val="5A0C0B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54C6808"/>
    <w:multiLevelType w:val="multilevel"/>
    <w:tmpl w:val="71D6BE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02464429">
    <w:abstractNumId w:val="1"/>
  </w:num>
  <w:num w:numId="2" w16cid:durableId="1735855346">
    <w:abstractNumId w:val="2"/>
  </w:num>
  <w:num w:numId="3" w16cid:durableId="1546793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0FC"/>
    <w:rsid w:val="006933EF"/>
    <w:rsid w:val="007E32D3"/>
    <w:rsid w:val="00FA70F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docId w15:val="{BA336A5D-21CD-3A48-AAA3-E87410640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ia.sea.gob.cl/archivos/2024/07/23/Notificacion_de_RCA_Centro_de_Almacenamiento_de_Datos_Huechurab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6850</Words>
  <Characters>37678</Characters>
  <Application>Microsoft Office Word</Application>
  <DocSecurity>0</DocSecurity>
  <Lines>313</Lines>
  <Paragraphs>88</Paragraphs>
  <ScaleCrop>false</ScaleCrop>
  <Company/>
  <LinksUpToDate>false</LinksUpToDate>
  <CharactersWithSpaces>44440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Lukas Davison</cp:lastModifiedBy>
  <cp:revision>2</cp:revision>
  <dcterms:created xsi:type="dcterms:W3CDTF">2024-08-31T19:57:00Z</dcterms:created>
  <dcterms:modified xsi:type="dcterms:W3CDTF">2024-08-31T20:00:00Z</dcterms:modified>
</cp:coreProperties>
</file>